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33D" w:rsidRPr="001E48E2" w:rsidRDefault="0013533D" w:rsidP="00164D0F">
      <w:pPr>
        <w:tabs>
          <w:tab w:val="left" w:pos="7230"/>
        </w:tabs>
        <w:spacing w:after="0" w:line="360" w:lineRule="auto"/>
        <w:ind w:left="6480" w:firstLine="720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>Приложение №</w:t>
      </w:r>
      <w:r w:rsidR="001831E7"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 xml:space="preserve"> </w:t>
      </w:r>
      <w:r w:rsidRPr="001E48E2"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 xml:space="preserve">1 </w:t>
      </w:r>
    </w:p>
    <w:p w:rsidR="00666740" w:rsidRDefault="00666740" w:rsidP="00755641">
      <w:pPr>
        <w:tabs>
          <w:tab w:val="left" w:pos="9072"/>
        </w:tabs>
        <w:spacing w:after="0" w:line="360" w:lineRule="auto"/>
        <w:ind w:left="538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13533D" w:rsidRPr="00C33BDA" w:rsidRDefault="0013533D" w:rsidP="00755641">
      <w:pPr>
        <w:tabs>
          <w:tab w:val="left" w:pos="9072"/>
        </w:tabs>
        <w:spacing w:after="0" w:line="360" w:lineRule="auto"/>
        <w:ind w:left="538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</w:pPr>
      <w:r w:rsidRPr="00C33BD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ДО</w:t>
      </w:r>
    </w:p>
    <w:p w:rsidR="001831E7" w:rsidRDefault="0013533D" w:rsidP="00755641">
      <w:pPr>
        <w:tabs>
          <w:tab w:val="left" w:pos="9072"/>
        </w:tabs>
        <w:spacing w:after="0" w:line="360" w:lineRule="auto"/>
        <w:ind w:left="538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bg-BG"/>
        </w:rPr>
      </w:pPr>
      <w:r w:rsidRPr="00C33BD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АГЕНЦИЯ ПО ГЕОДЕЗИЯ,</w:t>
      </w:r>
    </w:p>
    <w:p w:rsidR="0013533D" w:rsidRPr="00C33BDA" w:rsidRDefault="0013533D" w:rsidP="00755641">
      <w:pPr>
        <w:tabs>
          <w:tab w:val="left" w:pos="9072"/>
        </w:tabs>
        <w:spacing w:after="0" w:line="360" w:lineRule="auto"/>
        <w:ind w:left="538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C33BD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КАРТОГРАФИЯ</w:t>
      </w:r>
      <w:r w:rsidR="00690779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 xml:space="preserve"> </w:t>
      </w:r>
      <w:r w:rsidRPr="00C33BD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И КАДАСТЪР</w:t>
      </w:r>
    </w:p>
    <w:p w:rsidR="0013533D" w:rsidRPr="00C33BDA" w:rsidRDefault="0013533D" w:rsidP="00755641">
      <w:pPr>
        <w:tabs>
          <w:tab w:val="left" w:pos="9072"/>
        </w:tabs>
        <w:spacing w:after="0" w:line="360" w:lineRule="auto"/>
        <w:ind w:left="538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C33BD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ГР. СОФИЯ  1618</w:t>
      </w:r>
    </w:p>
    <w:p w:rsidR="0013533D" w:rsidRPr="00C33BDA" w:rsidRDefault="0013533D" w:rsidP="00755641">
      <w:pPr>
        <w:tabs>
          <w:tab w:val="left" w:pos="9072"/>
        </w:tabs>
        <w:spacing w:after="0" w:line="360" w:lineRule="auto"/>
        <w:ind w:left="538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</w:pPr>
      <w:r w:rsidRPr="00C33BD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УЛ. „МУСАЛА” № 1</w:t>
      </w:r>
    </w:p>
    <w:p w:rsidR="0013533D" w:rsidRPr="001E48E2" w:rsidRDefault="0013533D" w:rsidP="007F3697">
      <w:pPr>
        <w:tabs>
          <w:tab w:val="left" w:pos="7230"/>
        </w:tabs>
        <w:spacing w:after="0" w:line="360" w:lineRule="auto"/>
        <w:ind w:left="5245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13533D" w:rsidRPr="001E48E2" w:rsidRDefault="0013533D" w:rsidP="009A7C2F">
      <w:pP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От…………………………………………………...……………………………………,</w:t>
      </w:r>
    </w:p>
    <w:p w:rsidR="0013533D" w:rsidRPr="001E48E2" w:rsidRDefault="0013533D" w:rsidP="009A7C2F">
      <w:pPr>
        <w:tabs>
          <w:tab w:val="left" w:pos="326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                      </w:t>
      </w:r>
      <w:r w:rsidR="00967B1A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ab/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/наименование на кандидата/</w:t>
      </w:r>
    </w:p>
    <w:p w:rsidR="0013533D" w:rsidRPr="001E48E2" w:rsidRDefault="00C336F4" w:rsidP="00164D0F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Р</w:t>
      </w:r>
      <w:r w:rsidR="0013533D"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егистрирано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 в</w:t>
      </w:r>
      <w:r w:rsidR="009A7C2F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 с БУЛСТАТ/ЕИК ………………..</w:t>
      </w:r>
      <w:r w:rsidR="009A7C2F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със седалище и адрес на управление: ……………………., за кореспонденция: ……………………………, тел. ………….., факс ………………, 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eastAsia="bg-BG"/>
        </w:rPr>
        <w:t>e</w:t>
      </w:r>
      <w:r w:rsidRPr="00C336F4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-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eastAsia="bg-BG"/>
        </w:rPr>
        <w:t>mail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: ………………., </w:t>
      </w:r>
      <w:r w:rsidR="0013533D"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представлявано от 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законните представители </w:t>
      </w:r>
      <w:r w:rsidR="0013533D"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……………………………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 и </w:t>
      </w:r>
      <w:r w:rsidR="0013533D"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……………………………,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 чрез пълномощник</w:t>
      </w:r>
      <w:r w:rsidR="00DE0A2A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 им ………………………….., с нотариално заверено пълномощно № ………/………. г. по описа на нотариус …………… с рег. № ….. на НК</w:t>
      </w:r>
    </w:p>
    <w:p w:rsidR="0013533D" w:rsidRPr="001E48E2" w:rsidRDefault="0013533D" w:rsidP="00164D0F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З А Я В Л Е Н И Е</w:t>
      </w:r>
    </w:p>
    <w:p w:rsidR="0013533D" w:rsidRPr="001E48E2" w:rsidRDefault="0013533D" w:rsidP="00EA7E6B">
      <w:pP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13533D" w:rsidRPr="001E48E2" w:rsidRDefault="0013533D" w:rsidP="00EA7E6B">
      <w:pPr>
        <w:tabs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За участие в търг с тайно наддаване за отдаване под наем на част</w:t>
      </w:r>
      <w:r w:rsidR="008B1D6B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и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от имот</w:t>
      </w:r>
      <w:r w:rsidR="008B1D6B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и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– публична държавна собственост.</w:t>
      </w:r>
    </w:p>
    <w:p w:rsidR="00067C5C" w:rsidRDefault="0013533D" w:rsidP="00EA7E6B">
      <w:pPr>
        <w:tabs>
          <w:tab w:val="left" w:pos="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1. Заявявам, че желая да участвам в търг с тайно наддаване за отда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ване под наем на част</w:t>
      </w:r>
      <w:r w:rsidR="00067C5C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от имот</w:t>
      </w:r>
      <w:r w:rsidR="00067C5C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–</w:t>
      </w:r>
      <w:r w:rsidRPr="00E03564">
        <w:rPr>
          <w:lang w:val="bg-BG"/>
        </w:rPr>
        <w:t xml:space="preserve"> </w:t>
      </w:r>
      <w:r w:rsidRPr="00713FE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публична държавна собственост, </w:t>
      </w:r>
      <w:r w:rsidR="00067C5C">
        <w:rPr>
          <w:rFonts w:ascii="Times New Roman" w:eastAsia="Times New Roman" w:hAnsi="Times New Roman" w:cs="Times New Roman"/>
          <w:spacing w:val="-4"/>
          <w:sz w:val="24"/>
          <w:szCs w:val="24"/>
          <w:lang w:val="bg-BG"/>
        </w:rPr>
        <w:t>както следва:</w:t>
      </w:r>
      <w:r w:rsidR="00067C5C" w:rsidRPr="00017C7F">
        <w:rPr>
          <w:rFonts w:ascii="Times New Roman" w:eastAsia="Times New Roman" w:hAnsi="Times New Roman" w:cs="Times New Roman"/>
          <w:spacing w:val="-4"/>
          <w:sz w:val="24"/>
          <w:szCs w:val="24"/>
          <w:lang w:val="bg-BG"/>
        </w:rPr>
        <w:t xml:space="preserve"> </w:t>
      </w:r>
    </w:p>
    <w:p w:rsidR="00B16A15" w:rsidRPr="001831E7" w:rsidRDefault="00B16A15" w:rsidP="006A1805">
      <w:pPr>
        <w:pStyle w:val="ListParagraph"/>
        <w:numPr>
          <w:ilvl w:val="0"/>
          <w:numId w:val="2"/>
        </w:numPr>
        <w:tabs>
          <w:tab w:val="left" w:pos="0"/>
          <w:tab w:val="left" w:pos="851"/>
        </w:tabs>
        <w:spacing w:after="0" w:line="336" w:lineRule="auto"/>
        <w:ind w:left="0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Част от сграда с идентификатор 68134.1930.566.2, представляваща част от помещение, </w:t>
      </w:r>
      <w:r w:rsidRPr="001831E7">
        <w:rPr>
          <w:rFonts w:ascii="Times New Roman" w:hAnsi="Times New Roman" w:cs="Times New Roman"/>
          <w:spacing w:val="-4"/>
          <w:sz w:val="24"/>
          <w:szCs w:val="24"/>
          <w:lang w:val="bg-BG"/>
        </w:rPr>
        <w:t>определена за касово обслужване на гражданите и бизнеса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</w:t>
      </w:r>
      <w:r w:rsidRPr="001831E7">
        <w:rPr>
          <w:rFonts w:ascii="Times New Roman" w:hAnsi="Times New Roman"/>
          <w:spacing w:val="-4"/>
          <w:sz w:val="24"/>
          <w:szCs w:val="24"/>
          <w:lang w:val="bg-BG"/>
        </w:rPr>
        <w:t>с отдаваема площ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5,00 кв. м, находяща се в сградата на централн</w:t>
      </w:r>
      <w:r w:rsidR="004D4B4D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ата администрация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на Агенция по геодезия, картография и кадастър - гр. София, ул. „Мусала“ № 1, корпус І, в приемната за граждани на СГКК – София град и СГКК – София област;</w:t>
      </w:r>
    </w:p>
    <w:p w:rsidR="00B16A15" w:rsidRPr="001831E7" w:rsidRDefault="00B16A15" w:rsidP="006A1805">
      <w:pPr>
        <w:pStyle w:val="ListParagraph"/>
        <w:numPr>
          <w:ilvl w:val="0"/>
          <w:numId w:val="2"/>
        </w:numPr>
        <w:tabs>
          <w:tab w:val="left" w:pos="0"/>
          <w:tab w:val="left" w:pos="851"/>
        </w:tabs>
        <w:spacing w:after="0" w:line="336" w:lineRule="auto"/>
        <w:ind w:left="0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Част от сграда с идентификатор 56784.518.1186.1.10, представляваща част от помещение, </w:t>
      </w:r>
      <w:r w:rsidRPr="001831E7">
        <w:rPr>
          <w:rFonts w:ascii="Times New Roman" w:hAnsi="Times New Roman" w:cs="Times New Roman"/>
          <w:spacing w:val="-4"/>
          <w:sz w:val="24"/>
          <w:szCs w:val="24"/>
          <w:lang w:val="bg-BG"/>
        </w:rPr>
        <w:t>определена за касово обслужване на гражданите и бизнеса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</w:t>
      </w:r>
      <w:r w:rsidRPr="001831E7">
        <w:rPr>
          <w:rFonts w:ascii="Times New Roman" w:hAnsi="Times New Roman"/>
          <w:spacing w:val="-4"/>
          <w:sz w:val="24"/>
          <w:szCs w:val="24"/>
          <w:lang w:val="bg-BG"/>
        </w:rPr>
        <w:t>с отдаваема площ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32,00 кв. м, находяща се в сграда на Служба по геодезия, картография и кадастър (СГКК) – гр. Пловдив, пл. „Съединение“ № 3, в </w:t>
      </w:r>
      <w:r w:rsidRPr="001831E7">
        <w:rPr>
          <w:rFonts w:ascii="Times New Roman" w:hAnsi="Times New Roman" w:cs="Times New Roman"/>
          <w:spacing w:val="-4"/>
          <w:sz w:val="24"/>
          <w:szCs w:val="24"/>
          <w:lang w:val="bg-BG"/>
        </w:rPr>
        <w:t xml:space="preserve">приемната 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за граждани</w:t>
      </w:r>
      <w:r w:rsidRPr="001831E7">
        <w:rPr>
          <w:rFonts w:ascii="Times New Roman" w:hAnsi="Times New Roman" w:cs="Times New Roman"/>
          <w:spacing w:val="-4"/>
          <w:sz w:val="24"/>
          <w:szCs w:val="24"/>
          <w:lang w:val="bg-BG"/>
        </w:rPr>
        <w:t xml:space="preserve"> на СГКК – 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Пловдив;</w:t>
      </w:r>
    </w:p>
    <w:p w:rsidR="00B16A15" w:rsidRPr="001831E7" w:rsidRDefault="00B16A15" w:rsidP="006A1805">
      <w:pPr>
        <w:pStyle w:val="ListParagraph"/>
        <w:numPr>
          <w:ilvl w:val="0"/>
          <w:numId w:val="2"/>
        </w:numPr>
        <w:tabs>
          <w:tab w:val="left" w:pos="0"/>
          <w:tab w:val="left" w:pos="851"/>
        </w:tabs>
        <w:spacing w:after="0" w:line="336" w:lineRule="auto"/>
        <w:ind w:left="0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Част от сграда с идентификатор 07079.620.58.1.3, представляваща част от помещение, </w:t>
      </w:r>
      <w:r w:rsidRPr="001831E7">
        <w:rPr>
          <w:rFonts w:ascii="Times New Roman" w:hAnsi="Times New Roman" w:cs="Times New Roman"/>
          <w:spacing w:val="-4"/>
          <w:sz w:val="24"/>
          <w:szCs w:val="24"/>
          <w:lang w:val="bg-BG"/>
        </w:rPr>
        <w:t>определена за касово обслужване на гражданите и бизнеса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</w:t>
      </w:r>
      <w:r w:rsidRPr="001831E7">
        <w:rPr>
          <w:rFonts w:ascii="Times New Roman" w:hAnsi="Times New Roman"/>
          <w:spacing w:val="-4"/>
          <w:sz w:val="24"/>
          <w:szCs w:val="24"/>
          <w:lang w:val="bg-BG"/>
        </w:rPr>
        <w:t xml:space="preserve">с отдаваема площ </w:t>
      </w:r>
      <w:r w:rsidRPr="009D727E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17,30 кв. м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находяща се в сграда на СГКК – гр. Бургас, бул. „Ст. Стамболов“ № 120, ет. 1, </w:t>
      </w:r>
      <w:r w:rsidRPr="00E03564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от към фоайето на</w:t>
      </w:r>
      <w:r w:rsidRPr="001831E7" w:rsidDel="00925261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Pr="001831E7">
        <w:rPr>
          <w:rFonts w:ascii="Times New Roman" w:hAnsi="Times New Roman" w:cs="Times New Roman"/>
          <w:spacing w:val="-4"/>
          <w:sz w:val="24"/>
          <w:szCs w:val="24"/>
          <w:lang w:val="bg-BG"/>
        </w:rPr>
        <w:t xml:space="preserve">приемната 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за граждани</w:t>
      </w:r>
      <w:r w:rsidRPr="001831E7">
        <w:rPr>
          <w:rFonts w:ascii="Times New Roman" w:hAnsi="Times New Roman" w:cs="Times New Roman"/>
          <w:spacing w:val="-4"/>
          <w:sz w:val="24"/>
          <w:szCs w:val="24"/>
          <w:lang w:val="bg-BG"/>
        </w:rPr>
        <w:t xml:space="preserve"> на СГКК –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Бургас;</w:t>
      </w:r>
    </w:p>
    <w:p w:rsidR="00B16A15" w:rsidRPr="001831E7" w:rsidRDefault="00B16A15" w:rsidP="0062652D">
      <w:pPr>
        <w:pStyle w:val="ListParagraph"/>
        <w:numPr>
          <w:ilvl w:val="0"/>
          <w:numId w:val="2"/>
        </w:numPr>
        <w:tabs>
          <w:tab w:val="left" w:pos="0"/>
          <w:tab w:val="left" w:pos="851"/>
        </w:tabs>
        <w:spacing w:after="0" w:line="336" w:lineRule="auto"/>
        <w:ind w:left="0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lastRenderedPageBreak/>
        <w:t xml:space="preserve">Част от сграда с идентификатор 68850.502.201.2, представляваща част от помещение, </w:t>
      </w:r>
      <w:r w:rsidRPr="001831E7">
        <w:rPr>
          <w:rFonts w:ascii="Times New Roman" w:hAnsi="Times New Roman" w:cs="Times New Roman"/>
          <w:spacing w:val="-4"/>
          <w:sz w:val="24"/>
          <w:szCs w:val="24"/>
          <w:lang w:val="bg-BG"/>
        </w:rPr>
        <w:t>определена за касово обслужване на гражданите и бизнеса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</w:t>
      </w:r>
      <w:r w:rsidRPr="001831E7">
        <w:rPr>
          <w:rFonts w:ascii="Times New Roman" w:hAnsi="Times New Roman"/>
          <w:spacing w:val="-4"/>
          <w:sz w:val="24"/>
          <w:szCs w:val="24"/>
          <w:lang w:val="bg-BG"/>
        </w:rPr>
        <w:t xml:space="preserve">с отдаваема площ 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13,00 кв. м, находяща се в сграда на СГКК – гр. Стара Загора, ул. „Цар Симеон Велики“ № 1, в </w:t>
      </w:r>
      <w:r w:rsidRPr="001831E7">
        <w:rPr>
          <w:rFonts w:ascii="Times New Roman" w:hAnsi="Times New Roman" w:cs="Times New Roman"/>
          <w:spacing w:val="-4"/>
          <w:sz w:val="24"/>
          <w:szCs w:val="24"/>
          <w:lang w:val="bg-BG"/>
        </w:rPr>
        <w:t xml:space="preserve">приемната 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за граждани</w:t>
      </w:r>
      <w:r w:rsidRPr="001831E7">
        <w:rPr>
          <w:rFonts w:ascii="Times New Roman" w:hAnsi="Times New Roman" w:cs="Times New Roman"/>
          <w:spacing w:val="-4"/>
          <w:sz w:val="24"/>
          <w:szCs w:val="24"/>
          <w:lang w:val="bg-BG"/>
        </w:rPr>
        <w:t xml:space="preserve"> на СГКК –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Стара Загора;</w:t>
      </w:r>
    </w:p>
    <w:p w:rsidR="00B16A15" w:rsidRPr="001831E7" w:rsidRDefault="00B16A15" w:rsidP="0062652D">
      <w:pPr>
        <w:pStyle w:val="ListParagraph"/>
        <w:numPr>
          <w:ilvl w:val="0"/>
          <w:numId w:val="2"/>
        </w:numPr>
        <w:tabs>
          <w:tab w:val="left" w:pos="0"/>
          <w:tab w:val="left" w:pos="851"/>
        </w:tabs>
        <w:spacing w:after="0" w:line="336" w:lineRule="auto"/>
        <w:ind w:left="0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Част от сграда с идентификатор</w:t>
      </w:r>
      <w:r w:rsidRPr="00E03564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72624.608.1832.1.10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представляваща част от помещение, </w:t>
      </w:r>
      <w:r w:rsidRPr="001831E7">
        <w:rPr>
          <w:rFonts w:ascii="Times New Roman" w:hAnsi="Times New Roman" w:cs="Times New Roman"/>
          <w:spacing w:val="-4"/>
          <w:sz w:val="24"/>
          <w:szCs w:val="24"/>
          <w:lang w:val="bg-BG"/>
        </w:rPr>
        <w:t>определена за касово обслужване на гражданите и бизнеса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</w:t>
      </w:r>
      <w:r w:rsidRPr="001831E7">
        <w:rPr>
          <w:rFonts w:ascii="Times New Roman" w:hAnsi="Times New Roman"/>
          <w:spacing w:val="-4"/>
          <w:sz w:val="24"/>
          <w:szCs w:val="24"/>
          <w:lang w:val="bg-BG"/>
        </w:rPr>
        <w:t>с отдаваема площ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4,14 кв. м, находяща се в сграда на СГКК – гр. Добрич, бул. „Добруджа“ № 28, ет. 3, в </w:t>
      </w:r>
      <w:r w:rsidRPr="001831E7">
        <w:rPr>
          <w:rFonts w:ascii="Times New Roman" w:hAnsi="Times New Roman" w:cs="Times New Roman"/>
          <w:spacing w:val="-4"/>
          <w:sz w:val="24"/>
          <w:szCs w:val="24"/>
          <w:lang w:val="bg-BG"/>
        </w:rPr>
        <w:t xml:space="preserve">приемната 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за граждани</w:t>
      </w:r>
      <w:r w:rsidRPr="001831E7">
        <w:rPr>
          <w:rFonts w:ascii="Times New Roman" w:hAnsi="Times New Roman" w:cs="Times New Roman"/>
          <w:spacing w:val="-4"/>
          <w:sz w:val="24"/>
          <w:szCs w:val="24"/>
          <w:lang w:val="bg-BG"/>
        </w:rPr>
        <w:t xml:space="preserve"> на СГКК –</w:t>
      </w:r>
      <w:r w:rsidRPr="001831E7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Добрич;</w:t>
      </w:r>
    </w:p>
    <w:p w:rsidR="0013533D" w:rsidRPr="001E48E2" w:rsidRDefault="0013533D" w:rsidP="0062652D">
      <w:pPr>
        <w:tabs>
          <w:tab w:val="left" w:pos="0"/>
          <w:tab w:val="left" w:pos="851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2. Заявявам, че ми е предоставена възможност за свободен достъп до </w:t>
      </w:r>
      <w:r w:rsidR="00F64E50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имот</w:t>
      </w:r>
      <w:r w:rsidR="007E3A90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ите</w:t>
      </w:r>
      <w:r w:rsidR="00F64E50"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и извършване на оглед</w:t>
      </w:r>
      <w:r w:rsidR="007E3A90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и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и нямам претенции към организаторите на търга за необективна информация.</w:t>
      </w:r>
    </w:p>
    <w:p w:rsidR="0013533D" w:rsidRPr="001E48E2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3. Заявявам, че съм запознат с условията на търга и с всички документи, включени в тръжните книжа.</w:t>
      </w:r>
    </w:p>
    <w:p w:rsidR="0013533D" w:rsidRPr="001E48E2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4.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риемам да изпълня всички задължения, произтичащи от условията в търга.</w:t>
      </w:r>
    </w:p>
    <w:p w:rsidR="0013533D" w:rsidRPr="001E48E2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5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. Ако търгът бъде спечелен от </w:t>
      </w:r>
      <w:r w:rsidR="00C336F4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представлявания от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мен</w:t>
      </w:r>
      <w:r w:rsidR="002B1690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участник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, до подписването на договора настоящото заявление ще представлява споразумение между </w:t>
      </w:r>
      <w:r w:rsidR="00C336F4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представлявания от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мен</w:t>
      </w:r>
      <w:r w:rsidR="00C336F4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участник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и АГКК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,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което ще бъде безусловно гарантирано от депозитната вноска за участие в търга. В случай</w:t>
      </w:r>
      <w:r w:rsidR="00C336F4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,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че не внеса </w:t>
      </w:r>
      <w:r w:rsidR="00F9049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гаранция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в размер на два месечни наема, в тридневен срок от влизане в сила на заповедта за определяне на спечелилия търга участник, не внеса първата наемна цена в едноседмичен срок от датата на подписване на договора и/или при отказ от моя страна да подпиша протокол</w:t>
      </w:r>
      <w:r w:rsidR="009D727E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и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за предаване и приемане на имот</w:t>
      </w:r>
      <w:r w:rsidR="002B1690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ите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, се счита, че съм се отказал/а от договора и депозитната  вноска за участие остава в полза на АГКК.</w:t>
      </w:r>
    </w:p>
    <w:p w:rsidR="00967B1A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5. В случай че </w:t>
      </w:r>
      <w:r w:rsidR="00E5579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представляваният от мен участник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не спечел</w:t>
      </w:r>
      <w:r w:rsidR="00E5579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и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търга, моля внесеният депозит да се възстанови след изтичане на срока за обжалване на заповедта на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изпълнителния директор на АГКК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по чл. 55, ал. 3 от Правилника за прилагане на Закона за държавната собственост (ППЗДС), по следната банкова сметка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: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</w:p>
    <w:p w:rsidR="0013533D" w:rsidRPr="00E03564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360E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БАНКА:</w:t>
      </w:r>
      <w:r w:rsidRPr="00E0356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…………………………………</w:t>
      </w:r>
    </w:p>
    <w:p w:rsidR="0013533D" w:rsidRPr="00E03564" w:rsidRDefault="0013533D" w:rsidP="00164D0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360E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BIC</w:t>
      </w:r>
      <w:r w:rsidRPr="00E0356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:</w:t>
      </w:r>
      <w:r w:rsidRPr="00E0356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………………………………………</w:t>
      </w:r>
    </w:p>
    <w:p w:rsidR="0013533D" w:rsidRPr="00E03564" w:rsidRDefault="0013533D" w:rsidP="00164D0F">
      <w:pPr>
        <w:spacing w:after="0" w:line="360" w:lineRule="auto"/>
        <w:ind w:right="-426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360E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IBAN</w:t>
      </w:r>
      <w:r w:rsidRPr="00E0356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:</w:t>
      </w:r>
      <w:r w:rsidRPr="00E0356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…………………………………….</w:t>
      </w:r>
    </w:p>
    <w:p w:rsidR="0013533D" w:rsidRPr="004360E7" w:rsidRDefault="0013533D" w:rsidP="00164D0F">
      <w:pPr>
        <w:spacing w:after="0" w:line="36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360E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…………………………………………………..……………………..</w:t>
      </w:r>
    </w:p>
    <w:p w:rsidR="0013533D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</w:p>
    <w:p w:rsidR="004A06A4" w:rsidRDefault="004A06A4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</w:p>
    <w:p w:rsidR="004A06A4" w:rsidRDefault="004A06A4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</w:p>
    <w:p w:rsidR="004A06A4" w:rsidRDefault="004A06A4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</w:p>
    <w:p w:rsidR="004A06A4" w:rsidRPr="001E48E2" w:rsidRDefault="004A06A4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</w:p>
    <w:p w:rsidR="0013533D" w:rsidRPr="004360E7" w:rsidRDefault="0013533D" w:rsidP="00E5579C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4360E7">
        <w:rPr>
          <w:rFonts w:ascii="Times New Roman" w:eastAsia="Times New Roman" w:hAnsi="Times New Roman" w:cs="Times New Roman"/>
          <w:sz w:val="23"/>
          <w:szCs w:val="23"/>
          <w:lang w:val="bg-BG" w:eastAsia="bg-BG"/>
        </w:rPr>
        <w:lastRenderedPageBreak/>
        <w:t>Като неразделна част от настоящата оферта, прилагаме изискуемите в процедурата документи, както следва: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.....................................................................................................................................................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bookmarkStart w:id="0" w:name="_GoBack"/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.....................................................................................................................................................</w:t>
      </w:r>
    </w:p>
    <w:bookmarkEnd w:id="0"/>
    <w:p w:rsidR="0013533D" w:rsidRPr="004360E7" w:rsidRDefault="0013533D" w:rsidP="00164D0F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.....................................................................................................................................................</w:t>
      </w:r>
    </w:p>
    <w:p w:rsidR="0013533D" w:rsidRDefault="00E5579C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  <w:t>………………………..</w:t>
      </w:r>
    </w:p>
    <w:p w:rsidR="00E5579C" w:rsidRDefault="00E5579C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  <w:t>(добавят се необходимия брой номерирани редове)</w:t>
      </w:r>
    </w:p>
    <w:p w:rsidR="00164D0F" w:rsidRDefault="00164D0F" w:rsidP="00164D0F">
      <w:pPr>
        <w:tabs>
          <w:tab w:val="left" w:pos="851"/>
        </w:tabs>
        <w:spacing w:after="0" w:line="360" w:lineRule="auto"/>
        <w:ind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</w:p>
    <w:p w:rsidR="0013533D" w:rsidRPr="00D84575" w:rsidRDefault="0013533D" w:rsidP="00164D0F">
      <w:pPr>
        <w:tabs>
          <w:tab w:val="left" w:pos="851"/>
        </w:tabs>
        <w:spacing w:after="0" w:line="360" w:lineRule="auto"/>
        <w:ind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D84575">
        <w:rPr>
          <w:rFonts w:ascii="Times New Roman" w:eastAsia="Times New Roman" w:hAnsi="Times New Roman" w:cs="Arial"/>
          <w:szCs w:val="24"/>
          <w:lang w:val="ru-RU" w:eastAsia="bg-BG"/>
        </w:rPr>
        <w:t xml:space="preserve">Дата: …………… </w:t>
      </w:r>
      <w:r w:rsidR="00193C75" w:rsidRPr="00D84575">
        <w:rPr>
          <w:rFonts w:ascii="Times New Roman" w:eastAsia="Times New Roman" w:hAnsi="Times New Roman" w:cs="Arial"/>
          <w:szCs w:val="24"/>
          <w:lang w:val="ru-RU" w:eastAsia="bg-BG"/>
        </w:rPr>
        <w:t>20</w:t>
      </w:r>
      <w:r w:rsidR="00193C75">
        <w:rPr>
          <w:rFonts w:ascii="Times New Roman" w:eastAsia="Times New Roman" w:hAnsi="Times New Roman" w:cs="Arial"/>
          <w:szCs w:val="24"/>
          <w:lang w:val="ru-RU" w:eastAsia="bg-BG"/>
        </w:rPr>
        <w:t>21</w:t>
      </w:r>
      <w:r w:rsidR="00193C75" w:rsidRPr="00D84575">
        <w:rPr>
          <w:rFonts w:ascii="Times New Roman" w:eastAsia="Times New Roman" w:hAnsi="Times New Roman" w:cs="Arial"/>
          <w:szCs w:val="24"/>
          <w:lang w:val="ru-RU" w:eastAsia="bg-BG"/>
        </w:rPr>
        <w:t xml:space="preserve"> </w:t>
      </w:r>
      <w:r w:rsidRPr="00D84575">
        <w:rPr>
          <w:rFonts w:ascii="Times New Roman" w:eastAsia="Times New Roman" w:hAnsi="Times New Roman" w:cs="Arial"/>
          <w:szCs w:val="24"/>
          <w:lang w:val="ru-RU" w:eastAsia="bg-BG"/>
        </w:rPr>
        <w:t>г.                                                             ………….................</w:t>
      </w:r>
    </w:p>
    <w:p w:rsidR="0013533D" w:rsidRPr="00D84575" w:rsidRDefault="0013533D" w:rsidP="00164D0F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</w:pPr>
      <w:r w:rsidRPr="00D84575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                                                                                               (подпис и печат)</w:t>
      </w:r>
    </w:p>
    <w:p w:rsidR="00164D0F" w:rsidRDefault="00164D0F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164D0F" w:rsidRDefault="00164D0F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164D0F" w:rsidRDefault="00164D0F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164D0F" w:rsidRDefault="00164D0F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54738C" w:rsidRDefault="0054738C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54738C" w:rsidRDefault="0054738C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54738C" w:rsidRDefault="0054738C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C02343" w:rsidRPr="00E03564" w:rsidRDefault="0054738C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  <w:t xml:space="preserve">Забележка: Заявлението се подписва от </w:t>
      </w:r>
      <w:r w:rsidR="00E5579C"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  <w:t xml:space="preserve">законните </w:t>
      </w:r>
      <w:r w:rsidRPr="001E48E2"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  <w:t xml:space="preserve">представители на кандидата съгласно търговската регистрация на дружеството или от </w:t>
      </w:r>
      <w:r w:rsidR="00E5579C"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  <w:t xml:space="preserve">изрично </w:t>
      </w:r>
      <w:r w:rsidRPr="001E48E2"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  <w:t>упълномощен представител с нотариално заверено пълномощно</w:t>
      </w:r>
      <w:r w:rsidR="00E5579C"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  <w:t xml:space="preserve"> за участие в настоящия търг.</w:t>
      </w:r>
    </w:p>
    <w:sectPr w:rsidR="00C02343" w:rsidRPr="00E03564" w:rsidSect="00D559BF">
      <w:pgSz w:w="11906" w:h="16838"/>
      <w:pgMar w:top="1134" w:right="1274" w:bottom="851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9E1" w:rsidRDefault="006219E1" w:rsidP="00967B1A">
      <w:pPr>
        <w:spacing w:after="0" w:line="240" w:lineRule="auto"/>
      </w:pPr>
      <w:r>
        <w:separator/>
      </w:r>
    </w:p>
  </w:endnote>
  <w:endnote w:type="continuationSeparator" w:id="0">
    <w:p w:rsidR="006219E1" w:rsidRDefault="006219E1" w:rsidP="00967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9E1" w:rsidRDefault="006219E1" w:rsidP="00967B1A">
      <w:pPr>
        <w:spacing w:after="0" w:line="240" w:lineRule="auto"/>
      </w:pPr>
      <w:r>
        <w:separator/>
      </w:r>
    </w:p>
  </w:footnote>
  <w:footnote w:type="continuationSeparator" w:id="0">
    <w:p w:rsidR="006219E1" w:rsidRDefault="006219E1" w:rsidP="00967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0D8C"/>
    <w:multiLevelType w:val="hybridMultilevel"/>
    <w:tmpl w:val="EF728A96"/>
    <w:lvl w:ilvl="0" w:tplc="4558B7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E56E1"/>
    <w:multiLevelType w:val="hybridMultilevel"/>
    <w:tmpl w:val="259E765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C1E64D6"/>
    <w:multiLevelType w:val="hybridMultilevel"/>
    <w:tmpl w:val="B852B86E"/>
    <w:lvl w:ilvl="0" w:tplc="757A5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13A"/>
    <w:rsid w:val="0004450E"/>
    <w:rsid w:val="0006605B"/>
    <w:rsid w:val="00067C5C"/>
    <w:rsid w:val="000C316B"/>
    <w:rsid w:val="0013533D"/>
    <w:rsid w:val="00157B51"/>
    <w:rsid w:val="00164D0F"/>
    <w:rsid w:val="001831E7"/>
    <w:rsid w:val="00193C75"/>
    <w:rsid w:val="00216D1C"/>
    <w:rsid w:val="00250730"/>
    <w:rsid w:val="002B1690"/>
    <w:rsid w:val="002E3310"/>
    <w:rsid w:val="003A2E29"/>
    <w:rsid w:val="004A06A4"/>
    <w:rsid w:val="004B3106"/>
    <w:rsid w:val="004D4B4D"/>
    <w:rsid w:val="004F5F57"/>
    <w:rsid w:val="0054738C"/>
    <w:rsid w:val="00582DD1"/>
    <w:rsid w:val="005B74B0"/>
    <w:rsid w:val="005E4056"/>
    <w:rsid w:val="005E442C"/>
    <w:rsid w:val="006219E1"/>
    <w:rsid w:val="0062652D"/>
    <w:rsid w:val="006459C6"/>
    <w:rsid w:val="00666740"/>
    <w:rsid w:val="00690779"/>
    <w:rsid w:val="00696B92"/>
    <w:rsid w:val="006A1805"/>
    <w:rsid w:val="00755641"/>
    <w:rsid w:val="007C494D"/>
    <w:rsid w:val="007E3A90"/>
    <w:rsid w:val="007F3697"/>
    <w:rsid w:val="0089792B"/>
    <w:rsid w:val="008B1D6B"/>
    <w:rsid w:val="0094059C"/>
    <w:rsid w:val="00967B1A"/>
    <w:rsid w:val="00985356"/>
    <w:rsid w:val="009A7C2F"/>
    <w:rsid w:val="009C3F42"/>
    <w:rsid w:val="009D727E"/>
    <w:rsid w:val="00A27FA4"/>
    <w:rsid w:val="00B16A15"/>
    <w:rsid w:val="00B3600D"/>
    <w:rsid w:val="00B830ED"/>
    <w:rsid w:val="00C02343"/>
    <w:rsid w:val="00C16405"/>
    <w:rsid w:val="00C22041"/>
    <w:rsid w:val="00C336F4"/>
    <w:rsid w:val="00C4585D"/>
    <w:rsid w:val="00CB2E83"/>
    <w:rsid w:val="00D043B5"/>
    <w:rsid w:val="00D32148"/>
    <w:rsid w:val="00D559BF"/>
    <w:rsid w:val="00D6370E"/>
    <w:rsid w:val="00D92296"/>
    <w:rsid w:val="00DE0A2A"/>
    <w:rsid w:val="00E03564"/>
    <w:rsid w:val="00E039EA"/>
    <w:rsid w:val="00E27712"/>
    <w:rsid w:val="00E47742"/>
    <w:rsid w:val="00E51ED4"/>
    <w:rsid w:val="00E5579C"/>
    <w:rsid w:val="00E60C0D"/>
    <w:rsid w:val="00EA7E6B"/>
    <w:rsid w:val="00F3213A"/>
    <w:rsid w:val="00F64E50"/>
    <w:rsid w:val="00F876B2"/>
    <w:rsid w:val="00F90493"/>
    <w:rsid w:val="00FE1DAB"/>
    <w:rsid w:val="00FF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592921DE"/>
  <w15:docId w15:val="{5641B14B-2539-4956-B567-D6B09733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33D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7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B1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67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B1A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7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779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C45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F5C07-FC77-4AE8-984C-7709B78CF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Дирухи Топакбашиян</cp:lastModifiedBy>
  <cp:revision>23</cp:revision>
  <cp:lastPrinted>2021-06-09T11:43:00Z</cp:lastPrinted>
  <dcterms:created xsi:type="dcterms:W3CDTF">2021-05-21T07:03:00Z</dcterms:created>
  <dcterms:modified xsi:type="dcterms:W3CDTF">2021-06-28T12:16:00Z</dcterms:modified>
</cp:coreProperties>
</file>