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9C790" w14:textId="6DAEE43D" w:rsidR="00696E95" w:rsidRPr="00744029" w:rsidRDefault="00696E95" w:rsidP="00BC10D7">
      <w:pPr>
        <w:keepNext/>
        <w:keepLines/>
        <w:spacing w:line="360" w:lineRule="exact"/>
        <w:jc w:val="center"/>
        <w:rPr>
          <w:rStyle w:val="Heading11"/>
          <w:rFonts w:eastAsia="Arial Unicode MS"/>
          <w:color w:val="auto"/>
        </w:rPr>
      </w:pPr>
      <w:bookmarkStart w:id="0" w:name="bookmark0"/>
    </w:p>
    <w:p w14:paraId="6976DEE2" w14:textId="77777777" w:rsidR="00A462B2" w:rsidRPr="00744029" w:rsidRDefault="00A462B2" w:rsidP="00BC10D7">
      <w:pPr>
        <w:keepNext/>
        <w:keepLines/>
        <w:spacing w:line="360" w:lineRule="exact"/>
        <w:jc w:val="center"/>
        <w:rPr>
          <w:rStyle w:val="Heading11"/>
          <w:rFonts w:eastAsia="Arial Unicode MS"/>
          <w:color w:val="auto"/>
        </w:rPr>
      </w:pPr>
    </w:p>
    <w:p w14:paraId="1A59DFD1" w14:textId="77777777" w:rsidR="00BC10D7" w:rsidRPr="00744029" w:rsidRDefault="00BC10D7" w:rsidP="00BC10D7">
      <w:pPr>
        <w:keepNext/>
        <w:keepLines/>
        <w:spacing w:line="360" w:lineRule="exact"/>
        <w:jc w:val="center"/>
        <w:rPr>
          <w:b/>
          <w:color w:val="auto"/>
        </w:rPr>
      </w:pPr>
      <w:r w:rsidRPr="00744029">
        <w:rPr>
          <w:rStyle w:val="Heading11"/>
          <w:rFonts w:eastAsia="Arial Unicode MS"/>
          <w:b/>
          <w:color w:val="auto"/>
        </w:rPr>
        <w:t>мотиви</w:t>
      </w:r>
      <w:bookmarkEnd w:id="0"/>
      <w:r w:rsidRPr="00744029">
        <w:rPr>
          <w:rStyle w:val="Heading11"/>
          <w:rFonts w:eastAsia="Arial Unicode MS"/>
          <w:b/>
          <w:color w:val="auto"/>
        </w:rPr>
        <w:br/>
      </w:r>
      <w:r w:rsidRPr="00744029">
        <w:rPr>
          <w:rStyle w:val="Bodytext2"/>
          <w:rFonts w:eastAsia="Arial Unicode MS"/>
          <w:b/>
          <w:color w:val="auto"/>
        </w:rPr>
        <w:t>към</w:t>
      </w:r>
    </w:p>
    <w:p w14:paraId="63552E7C" w14:textId="541303DD" w:rsidR="00C77549" w:rsidRDefault="00F87060" w:rsidP="00425578">
      <w:pPr>
        <w:pStyle w:val="Bodytext20"/>
        <w:shd w:val="clear" w:color="auto" w:fill="auto"/>
        <w:spacing w:before="0"/>
        <w:rPr>
          <w:rFonts w:eastAsia="MS Mincho"/>
          <w:b/>
          <w:iCs/>
          <w:sz w:val="24"/>
          <w:szCs w:val="24"/>
          <w:lang w:val="bg-BG"/>
        </w:rPr>
      </w:pPr>
      <w:r w:rsidRPr="00744029">
        <w:rPr>
          <w:rFonts w:eastAsia="MS Mincho"/>
          <w:b/>
          <w:iCs/>
          <w:sz w:val="24"/>
          <w:szCs w:val="24"/>
          <w:lang w:val="bg-BG"/>
        </w:rPr>
        <w:t xml:space="preserve">проект на </w:t>
      </w:r>
      <w:r w:rsidR="00425578" w:rsidRPr="00744029">
        <w:rPr>
          <w:rFonts w:eastAsia="MS Mincho"/>
          <w:b/>
          <w:iCs/>
          <w:sz w:val="24"/>
          <w:szCs w:val="24"/>
          <w:lang w:val="bg-BG"/>
        </w:rPr>
        <w:t xml:space="preserve">Инструкция за изменение и допълнение на Инструкция № РД-02-20-1 от 15 януари 2021 г. за създаване и поддържане на </w:t>
      </w:r>
      <w:r w:rsidR="00C77549" w:rsidRPr="00744029">
        <w:rPr>
          <w:rFonts w:eastAsia="MS Mincho"/>
          <w:b/>
          <w:iCs/>
          <w:sz w:val="24"/>
          <w:szCs w:val="24"/>
          <w:lang w:val="bg-BG"/>
        </w:rPr>
        <w:t xml:space="preserve">Държавната </w:t>
      </w:r>
      <w:proofErr w:type="spellStart"/>
      <w:r w:rsidR="00425578" w:rsidRPr="00744029">
        <w:rPr>
          <w:rFonts w:eastAsia="MS Mincho"/>
          <w:b/>
          <w:iCs/>
          <w:sz w:val="24"/>
          <w:szCs w:val="24"/>
          <w:lang w:val="bg-BG"/>
        </w:rPr>
        <w:t>нивелачна</w:t>
      </w:r>
      <w:proofErr w:type="spellEnd"/>
      <w:r w:rsidR="00425578" w:rsidRPr="00744029">
        <w:rPr>
          <w:rFonts w:eastAsia="MS Mincho"/>
          <w:b/>
          <w:iCs/>
          <w:sz w:val="24"/>
          <w:szCs w:val="24"/>
          <w:lang w:val="bg-BG"/>
        </w:rPr>
        <w:t xml:space="preserve"> мрежа </w:t>
      </w:r>
    </w:p>
    <w:p w14:paraId="04EC1C1D" w14:textId="48183279" w:rsidR="00696E95" w:rsidRPr="00744029" w:rsidRDefault="00425578" w:rsidP="00425578">
      <w:pPr>
        <w:pStyle w:val="Bodytext20"/>
        <w:shd w:val="clear" w:color="auto" w:fill="auto"/>
        <w:spacing w:before="0"/>
        <w:rPr>
          <w:b/>
        </w:rPr>
      </w:pPr>
      <w:r w:rsidRPr="00744029">
        <w:rPr>
          <w:rFonts w:eastAsia="MS Mincho"/>
          <w:b/>
          <w:iCs/>
          <w:sz w:val="24"/>
          <w:szCs w:val="24"/>
          <w:lang w:val="bg-BG"/>
        </w:rPr>
        <w:t>(обн.</w:t>
      </w:r>
      <w:r w:rsidR="000561D7" w:rsidRPr="00744029">
        <w:rPr>
          <w:rFonts w:eastAsia="MS Mincho"/>
          <w:b/>
          <w:iCs/>
          <w:sz w:val="24"/>
          <w:szCs w:val="24"/>
          <w:lang w:val="bg-BG"/>
        </w:rPr>
        <w:t>,</w:t>
      </w:r>
      <w:r w:rsidRPr="00744029">
        <w:rPr>
          <w:rFonts w:eastAsia="MS Mincho"/>
          <w:b/>
          <w:iCs/>
          <w:sz w:val="24"/>
          <w:szCs w:val="24"/>
          <w:lang w:val="bg-BG"/>
        </w:rPr>
        <w:t xml:space="preserve"> ДВ</w:t>
      </w:r>
      <w:r w:rsidR="007200AF" w:rsidRPr="00744029">
        <w:rPr>
          <w:rFonts w:eastAsia="MS Mincho"/>
          <w:b/>
          <w:iCs/>
          <w:sz w:val="24"/>
          <w:szCs w:val="24"/>
          <w:lang w:val="bg-BG"/>
        </w:rPr>
        <w:t>,</w:t>
      </w:r>
      <w:r w:rsidRPr="00744029">
        <w:rPr>
          <w:rFonts w:eastAsia="MS Mincho"/>
          <w:b/>
          <w:iCs/>
          <w:sz w:val="24"/>
          <w:szCs w:val="24"/>
          <w:lang w:val="bg-BG"/>
        </w:rPr>
        <w:t xml:space="preserve"> бр. 10 от 2021 г.)</w:t>
      </w:r>
    </w:p>
    <w:p w14:paraId="70FF2713" w14:textId="77777777" w:rsidR="002B2720" w:rsidRPr="00744029" w:rsidRDefault="002B2720" w:rsidP="00F87060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4748E080" w14:textId="77777777" w:rsidR="00F24369" w:rsidRPr="00744029" w:rsidRDefault="00F24369" w:rsidP="00F24369">
      <w:pPr>
        <w:pStyle w:val="ListParagraph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</w:rPr>
      </w:pPr>
      <w:r w:rsidRPr="00744029">
        <w:rPr>
          <w:rFonts w:ascii="Times New Roman" w:hAnsi="Times New Roman" w:cs="Times New Roman"/>
          <w:b/>
          <w:color w:val="auto"/>
        </w:rPr>
        <w:t>Причини, които налагат приемането на акта:</w:t>
      </w:r>
    </w:p>
    <w:p w14:paraId="0983717D" w14:textId="77777777" w:rsidR="00F24369" w:rsidRPr="00744029" w:rsidRDefault="00F24369" w:rsidP="00F87060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078AF9FE" w14:textId="035B4D3D" w:rsidR="002B748A" w:rsidRPr="00744029" w:rsidRDefault="002B748A" w:rsidP="00F87060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Проектът на </w:t>
      </w:r>
      <w:r w:rsidR="002B2720" w:rsidRPr="00744029">
        <w:rPr>
          <w:rFonts w:ascii="Times New Roman" w:eastAsia="MS Mincho" w:hAnsi="Times New Roman" w:cs="Times New Roman"/>
          <w:color w:val="auto"/>
          <w:lang w:eastAsia="en-US" w:bidi="ar-SA"/>
        </w:rPr>
        <w:t>инструкция</w:t>
      </w: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е разработен </w:t>
      </w:r>
      <w:r w:rsidR="00F85DA5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във връзка </w:t>
      </w:r>
      <w:r w:rsidR="003D6C6F" w:rsidRPr="00744029">
        <w:rPr>
          <w:rFonts w:ascii="Times New Roman" w:eastAsia="MS Mincho" w:hAnsi="Times New Roman" w:cs="Times New Roman"/>
          <w:color w:val="auto"/>
          <w:lang w:eastAsia="en-US" w:bidi="ar-SA"/>
        </w:rPr>
        <w:t>с</w:t>
      </w:r>
      <w:r w:rsidR="004844A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установени проблеми и неуредени въпроси в </w:t>
      </w:r>
      <w:r w:rsidR="00F85DA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практиката по прилагането на действащата </w:t>
      </w:r>
      <w:r w:rsidR="0093471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от </w:t>
      </w:r>
      <w:r w:rsidR="002B272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2021</w:t>
      </w:r>
      <w:r w:rsidR="0093471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г. до</w:t>
      </w:r>
      <w:r w:rsidR="00F85DA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този момент </w:t>
      </w:r>
      <w:r w:rsidR="002B272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инструкция</w:t>
      </w:r>
      <w:r w:rsidR="00F85DA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</w:t>
      </w:r>
      <w:r w:rsidR="002B272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Инструкцията</w:t>
      </w:r>
      <w:r w:rsidR="00F85DA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издава на основание</w:t>
      </w:r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§4 от </w:t>
      </w:r>
      <w:r w:rsidR="004844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Преходни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те</w:t>
      </w:r>
      <w:r w:rsidR="004844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заключителни разпоредби на </w:t>
      </w:r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Наредба №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РД-02-21-1 от 9 юли 2015 г. за </w:t>
      </w:r>
      <w:r w:rsidR="00C7754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Държавната </w:t>
      </w:r>
      <w:proofErr w:type="spellStart"/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мрежа (обн.</w:t>
      </w:r>
      <w:r w:rsidR="000561D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887CF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ДВ, бр. 55 от 2015 г.).</w:t>
      </w:r>
    </w:p>
    <w:p w14:paraId="79A542F0" w14:textId="6E91D5A2" w:rsidR="00071142" w:rsidRPr="00744029" w:rsidRDefault="00071142" w:rsidP="00F87060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Влязлата </w:t>
      </w:r>
      <w:r w:rsidR="004844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 сила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през 2021 г. 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Инструкция №РД-02-20-1 от 15 януари 2021 г. за създаване и поддържане на </w:t>
      </w:r>
      <w:r w:rsidR="00C7754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Държавната </w:t>
      </w:r>
      <w:proofErr w:type="spellStart"/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мрежа 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(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нструкция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замени действащата дотогава Инструкция за нивелация I и II клас, издадена през 1980 г. от Комитета по архитектура и благоустройство - Главно управление по геодезия, картография и кадастър</w:t>
      </w:r>
      <w:r w:rsidR="007200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 </w:t>
      </w:r>
      <w:r w:rsidR="007200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сновната цел </w:t>
      </w:r>
      <w:r w:rsidR="007200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издадената </w:t>
      </w:r>
      <w:r w:rsidR="00384C9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през 2021 г. 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="007200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нструкция е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да осигури </w:t>
      </w:r>
      <w:r w:rsidR="003D6C6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адекватна нормативна основа при изграждането, поддържането и обновяването на </w:t>
      </w:r>
      <w:r w:rsidR="00C7754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Държавната </w:t>
      </w:r>
      <w:proofErr w:type="spellStart"/>
      <w:r w:rsidR="003D6C6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3D6C6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мрежа (ДНМ) чрез</w:t>
      </w:r>
      <w:r w:rsidR="003D6C6F" w:rsidRPr="00744029">
        <w:rPr>
          <w:rFonts w:ascii="Times New Roman" w:hAnsi="Times New Roman"/>
          <w:color w:val="auto"/>
        </w:rPr>
        <w:t xml:space="preserve"> </w:t>
      </w:r>
      <w:r w:rsidRPr="00744029">
        <w:rPr>
          <w:rFonts w:ascii="Times New Roman" w:hAnsi="Times New Roman"/>
          <w:color w:val="auto"/>
        </w:rPr>
        <w:t>въве</w:t>
      </w:r>
      <w:r w:rsidR="003D6C6F" w:rsidRPr="00744029">
        <w:rPr>
          <w:rFonts w:ascii="Times New Roman" w:hAnsi="Times New Roman"/>
          <w:color w:val="auto"/>
        </w:rPr>
        <w:t>ждане на</w:t>
      </w:r>
      <w:r w:rsidRPr="00744029">
        <w:rPr>
          <w:rFonts w:ascii="Times New Roman" w:hAnsi="Times New Roman"/>
          <w:color w:val="auto"/>
        </w:rPr>
        <w:t xml:space="preserve"> </w:t>
      </w:r>
      <w:r w:rsidR="003D6C6F" w:rsidRPr="00744029">
        <w:rPr>
          <w:rFonts w:ascii="Times New Roman" w:hAnsi="Times New Roman"/>
          <w:color w:val="auto"/>
        </w:rPr>
        <w:t>норми, съответстващи</w:t>
      </w:r>
      <w:r w:rsidRPr="00744029">
        <w:rPr>
          <w:rFonts w:ascii="Times New Roman" w:hAnsi="Times New Roman"/>
          <w:color w:val="auto"/>
        </w:rPr>
        <w:t xml:space="preserve"> на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съвременните научни, технически и технологични достижения в областта на поддържане и актуализиране на референтните височинни</w:t>
      </w:r>
      <w:r w:rsidR="00384C9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вертикални системи.</w:t>
      </w:r>
    </w:p>
    <w:p w14:paraId="5405DDD5" w14:textId="093B6A4C" w:rsidR="004E266C" w:rsidRPr="00744029" w:rsidRDefault="00E87CE8" w:rsidP="00F87060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 хода на прилагане на 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нструкцията (</w:t>
      </w:r>
      <w:r w:rsidR="00B3502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 настоящия момент са </w:t>
      </w:r>
      <w:proofErr w:type="spellStart"/>
      <w:r w:rsidR="00B3502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преизмерени</w:t>
      </w:r>
      <w:proofErr w:type="spellEnd"/>
      <w:r w:rsidR="00B3502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8 (осем) първокласни </w:t>
      </w:r>
      <w:proofErr w:type="spellStart"/>
      <w:r w:rsidR="00B3502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</w:t>
      </w:r>
      <w:proofErr w:type="spellEnd"/>
      <w:r w:rsidR="00B3502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линии с обща дължина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1 331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 xml:space="preserve"> km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констатира необходимост от 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отпадане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и/или промяна на някои изисквания към </w:t>
      </w:r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извършваните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и тяхната обработка</w:t>
      </w:r>
      <w:r w:rsidR="007A04A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без това да </w:t>
      </w:r>
      <w:r w:rsidR="007A04A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намали качеството на резултатите, </w:t>
      </w:r>
      <w:r w:rsidR="007200A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но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завишаване на </w:t>
      </w:r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други изисквания, вкл. на етап проучване и проектиране на </w:t>
      </w:r>
      <w:proofErr w:type="spellStart"/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линии</w:t>
      </w:r>
      <w:r w:rsidR="007A04A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 цел гарант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иране на точността и качеството и повишаване ефективността на контрола от страна на Агенция</w:t>
      </w:r>
      <w:r w:rsidR="004920C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по геодезия, картография и кадастър (АГКК).</w:t>
      </w:r>
      <w:r w:rsidR="00A1006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</w:p>
    <w:p w14:paraId="75F70103" w14:textId="77777777" w:rsidR="007932E6" w:rsidRPr="00744029" w:rsidRDefault="007932E6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</w:p>
    <w:p w14:paraId="24EAE376" w14:textId="77777777" w:rsidR="00F24369" w:rsidRPr="00744029" w:rsidRDefault="00F24369" w:rsidP="00F24369">
      <w:pPr>
        <w:pStyle w:val="ListParagraph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</w:rPr>
      </w:pPr>
      <w:r w:rsidRPr="00744029">
        <w:rPr>
          <w:rFonts w:ascii="Times New Roman" w:hAnsi="Times New Roman" w:cs="Times New Roman"/>
          <w:b/>
          <w:color w:val="auto"/>
        </w:rPr>
        <w:t>Цели, които се поставят:</w:t>
      </w:r>
    </w:p>
    <w:p w14:paraId="68889366" w14:textId="12131A2A" w:rsidR="00F24369" w:rsidRPr="00744029" w:rsidRDefault="00F24369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Практиката показа, че е целесъобразно да се отменят текстове, които излишно натоварват съдържанието ѝ, а от друга страна -  да се допълнят и/или прецизират други текстове с оглед избягване на различно тълкуване и/или неясноти по прилагането на някои разпоредби. </w:t>
      </w:r>
      <w:r w:rsidRPr="00744029">
        <w:rPr>
          <w:rFonts w:ascii="Times New Roman" w:hAnsi="Times New Roman" w:cs="Times New Roman"/>
          <w:color w:val="auto"/>
        </w:rPr>
        <w:t xml:space="preserve">С предложения проект на инструкция се цели и прецизиране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текстове във връзка с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>отстраняване на технически грешки и/или терминологични неточности в някои дефиниции, както и за постигане на по-точно съответствие с други нормативни актове.</w:t>
      </w:r>
    </w:p>
    <w:p w14:paraId="39413DE9" w14:textId="47699F01" w:rsidR="00465BD9" w:rsidRPr="00744029" w:rsidRDefault="00465BD9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съществените изменения  и допълнения на инструкцията са следните:</w:t>
      </w:r>
    </w:p>
    <w:p w14:paraId="2944F79F" w14:textId="3A05C873" w:rsidR="007932E6" w:rsidRPr="00744029" w:rsidRDefault="000569DA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</w:t>
      </w:r>
      <w:r w:rsidR="00F335C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</w:t>
      </w:r>
      <w:r w:rsidR="00A462B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измененията в чл. 2 и чл. 3 са прецизирани</w:t>
      </w:r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дефинициите на 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ДНМ</w:t>
      </w:r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височинните ѝ компоненти</w:t>
      </w:r>
      <w:r w:rsidR="00A462B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Целта на промяната е постигане на по-добро </w:t>
      </w:r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съответствие с Наредба №2 от 30 юли 2010 г. за дефиниране, реализация и поддържане на Българската </w:t>
      </w:r>
      <w:proofErr w:type="spellStart"/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геодезическа</w:t>
      </w:r>
      <w:proofErr w:type="spellEnd"/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система и Наредба №РД-02-21-1 от 9 юли 2015 г. за Държавната </w:t>
      </w:r>
      <w:proofErr w:type="spellStart"/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7932E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мрежа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16F0E385" w14:textId="5CD3D23B" w:rsidR="0060442A" w:rsidRPr="00744029" w:rsidRDefault="007932E6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изискванията за</w:t>
      </w:r>
      <w:r w:rsidR="0084481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изграждане на дублиращи </w:t>
      </w:r>
      <w:proofErr w:type="spellStart"/>
      <w:r w:rsidR="0084481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84481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С измененията 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допълненията </w:t>
      </w:r>
      <w:r w:rsidR="00465BD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 чл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5 </w:t>
      </w:r>
      <w:r w:rsidR="0084481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се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допуска, при наличие на два или повече поредни </w:t>
      </w:r>
      <w:proofErr w:type="spellStart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репера</w:t>
      </w:r>
      <w:proofErr w:type="spellEnd"/>
      <w:r w:rsidR="00005C6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неотговарящи на условието за извършване на преки </w:t>
      </w:r>
      <w:proofErr w:type="spellStart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</w:t>
      </w:r>
      <w:proofErr w:type="spellEnd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363192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измервани 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 измервания</w:t>
      </w:r>
      <w:r w:rsidR="00363192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чрез </w:t>
      </w:r>
      <w:r w:rsidR="00363192" w:rsidRPr="00363192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Глобалната навигационна сателитна система (ГНСС)</w:t>
      </w:r>
      <w:bookmarkStart w:id="1" w:name="_GoBack"/>
      <w:bookmarkEnd w:id="1"/>
      <w:r w:rsidR="00005C6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при липса на подходящо място до 200 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 xml:space="preserve">m </w:t>
      </w:r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от основния </w:t>
      </w:r>
      <w:proofErr w:type="spellStart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</w:t>
      </w:r>
      <w:proofErr w:type="spellEnd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отговарящо на условието, да се стабилизира/т междинен/междинни </w:t>
      </w:r>
      <w:proofErr w:type="spellStart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отговарящи на условието. Целта на промяната е да се избягва строежът на земни </w:t>
      </w:r>
      <w:proofErr w:type="spellStart"/>
      <w:r w:rsidR="00BF108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  <w:r w:rsidR="000569D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</w:p>
    <w:p w14:paraId="325530EC" w14:textId="0AE7AA83" w:rsidR="00491070" w:rsidRPr="00744029" w:rsidRDefault="0060442A" w:rsidP="008A4C9F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C7067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изискванията 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за маркиране местата на новите </w:t>
      </w:r>
      <w:proofErr w:type="spellStart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фотографирането им, 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фотографиране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то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съществуващите </w:t>
      </w:r>
      <w:proofErr w:type="spellStart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1E091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на избраните за изходни </w:t>
      </w:r>
      <w:proofErr w:type="spellStart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</w:t>
      </w:r>
      <w:proofErr w:type="spellEnd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</w:t>
      </w:r>
      <w:proofErr w:type="spellStart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</w:t>
      </w:r>
      <w:proofErr w:type="spellEnd"/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точки (досегашни т. 4 и т. 5 в чл. 40, ал. 2</w:t>
      </w:r>
      <w:r w:rsidR="009729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от Раздел </w:t>
      </w:r>
      <w:r w:rsidR="009729EE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III</w:t>
      </w:r>
      <w:r w:rsidR="004920C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</w:t>
      </w:r>
      <w:r w:rsidR="009729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Проект на </w:t>
      </w:r>
      <w:proofErr w:type="spellStart"/>
      <w:r w:rsidR="009729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9729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линия)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прехвърлят в чл. 29, </w:t>
      </w:r>
      <w:r w:rsidR="000561D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тъй като </w:t>
      </w:r>
      <w:r w:rsidR="008A4C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това са дейности, които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извършват по време на теренното проучване, а не на последв</w:t>
      </w:r>
      <w:r w:rsidR="00DD11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ащ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етап</w:t>
      </w:r>
      <w:r w:rsidR="00DD11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какъвто се явява изработването на проект на </w:t>
      </w:r>
      <w:proofErr w:type="spellStart"/>
      <w:r w:rsidR="00DD11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нивелачната</w:t>
      </w:r>
      <w:proofErr w:type="spellEnd"/>
      <w:r w:rsidR="00DD11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линия.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 чл. 29, ал. 5 от проекта за изменение и допълнение на </w:t>
      </w:r>
      <w:r w:rsidR="00F2436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нструкцията се д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обавя изискване запазените </w:t>
      </w:r>
      <w:proofErr w:type="spellStart"/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</w:t>
      </w:r>
      <w:proofErr w:type="spellEnd"/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точки да се обозначават с подходящ знак (</w:t>
      </w:r>
      <w:proofErr w:type="spellStart"/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</w:t>
      </w:r>
      <w:proofErr w:type="spellEnd"/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пирон/марка/плочка и </w:t>
      </w:r>
      <w:r w:rsidR="00B91D3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други 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под</w:t>
      </w:r>
      <w:r w:rsidR="00B91D3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обни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), а при невъзможност – да се </w:t>
      </w:r>
      <w:r w:rsidR="00B0118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маркират по подходящ начин.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B91D3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Ц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елта </w:t>
      </w:r>
      <w:r w:rsidR="00B3196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поставеното изискване 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е </w:t>
      </w:r>
      <w:r w:rsidR="004B187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постигане на 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„</w:t>
      </w:r>
      <w:r w:rsidR="00A1281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еднозначност</w:t>
      </w:r>
      <w:r w:rsidR="007944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/еднаквост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“ </w:t>
      </w:r>
      <w:r w:rsidR="004B187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(извършване на </w:t>
      </w:r>
      <w:proofErr w:type="spellStart"/>
      <w:r w:rsidR="004B187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4B187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на едно и също място) </w:t>
      </w:r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при използване на </w:t>
      </w:r>
      <w:proofErr w:type="spellStart"/>
      <w:r w:rsidR="00B0118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A03BE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точки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</w:t>
      </w:r>
      <w:proofErr w:type="spellStart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т.к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за разлика от другите </w:t>
      </w:r>
      <w:proofErr w:type="spellStart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знаци (</w:t>
      </w:r>
      <w:proofErr w:type="spellStart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триангулачни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/ГНСС точки и </w:t>
      </w:r>
      <w:proofErr w:type="spellStart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), </w:t>
      </w:r>
      <w:proofErr w:type="spellStart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точки в общия случай не са обозначени, а местата им са указани описателно, напр. „вдясно о</w:t>
      </w:r>
      <w:r w:rsidR="00DB7ED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входа на операта в гр. .....“ или „на терасата на пристанищната сграда – северна фасада в гр</w:t>
      </w:r>
      <w:r w:rsidR="00DB7ED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</w:t>
      </w:r>
      <w:r w:rsidR="00AA7A1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......“</w:t>
      </w:r>
      <w:r w:rsidR="00DB7ED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144A7309" w14:textId="14FA438A" w:rsidR="002404C2" w:rsidRPr="00744029" w:rsidRDefault="002404C2" w:rsidP="008A4C9F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изискванията за извършване на геоложки и хидроложки проучвания при избор на места за нови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запазват само в случаите на промяна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нивелачното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трасе и строеж на земни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DB7ED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09428BC7" w14:textId="700BD08D" w:rsidR="00C52DFE" w:rsidRPr="00744029" w:rsidRDefault="00491070" w:rsidP="00FB2EC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допълват се изискванията към обема и съдържанието на проекта на </w:t>
      </w:r>
      <w:proofErr w:type="spellStart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</w:t>
      </w:r>
      <w:r w:rsidR="0094166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(чл. 40  от проекта на </w:t>
      </w:r>
      <w:r w:rsidR="00691E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инструкция</w:t>
      </w:r>
      <w:r w:rsidR="0094166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Практиката след 2021 г. показа, че наличието на идейни проекти за ГНСС и </w:t>
      </w:r>
      <w:proofErr w:type="spellStart"/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са полезни и увеличават гаранциите за качествено изпълнение на дейностите</w:t>
      </w:r>
      <w:r w:rsidR="00AA457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по-ефективен контрол на изпълнението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 Съответно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д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обавя изискване,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към проекта на </w:t>
      </w:r>
      <w:proofErr w:type="spellStart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нивелачната</w:t>
      </w:r>
      <w:proofErr w:type="spellEnd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да се изработват и 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представят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план и схема за ГНСС измерванията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проект и схема на </w:t>
      </w:r>
      <w:proofErr w:type="spellStart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</w:t>
      </w:r>
      <w:r w:rsidR="00B0422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както и да се 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>предоставя информация</w:t>
      </w:r>
      <w:r w:rsidR="00C0305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FB2EC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за предвидените за използване инструменти, пособия и софтуери за обработка.</w:t>
      </w:r>
      <w:r w:rsidR="00F241D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Данните за софтуерите са необходими, за да бъде сигурен Възложителят, че измерванията се обработват със специализиран софту</w:t>
      </w:r>
      <w:r w:rsidR="00B0422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ер, следователно</w:t>
      </w:r>
      <w:r w:rsidR="00700C0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-</w:t>
      </w:r>
      <w:r w:rsidR="00B0422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резултатите са надеждни и декларираната точност е действителната</w:t>
      </w:r>
      <w:r w:rsidR="00B91D3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58F9140E" w14:textId="7485290C" w:rsidR="009425C9" w:rsidRPr="00744029" w:rsidRDefault="00491070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AE77F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поставя се изискване към структурирането (в директории и поддиректории) на документацията, която се предоставя в цифров вид, с което </w:t>
      </w:r>
      <w:r w:rsidR="00F3308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се цели </w:t>
      </w:r>
      <w:r w:rsidR="00AE77F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да се постигне еднаквост </w:t>
      </w:r>
      <w:r w:rsidR="00F3308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при</w:t>
      </w:r>
      <w:r w:rsidR="00AE77F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представяне на данните от различни изпълнители</w:t>
      </w:r>
      <w:r w:rsidR="001D629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съответно да се унифицират досиетата на линиите, създавани съгл. чл. 109 от </w:t>
      </w:r>
      <w:r w:rsidR="005F7B9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="001D629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нструкцията;</w:t>
      </w:r>
    </w:p>
    <w:p w14:paraId="668330DB" w14:textId="664CE9C9" w:rsidR="00ED7E6B" w:rsidRPr="00744029" w:rsidRDefault="00491070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поставя се изискване при стабилизиране на </w:t>
      </w:r>
      <w:proofErr w:type="spellStart"/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тип „гъбовиден болт“ да се гравира център върху главата на болта</w:t>
      </w:r>
      <w:r w:rsidR="00691E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(нова ал. 3 на чл. 40 от проекта на инструкция)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с което се подобряват условията за точно </w:t>
      </w:r>
      <w:r w:rsidR="004D71A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центриране</w:t>
      </w:r>
      <w:r w:rsidR="001D629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съответно се създава</w:t>
      </w:r>
      <w:r w:rsidR="004D71A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предпоставка за по-точното определяне на </w:t>
      </w:r>
      <w:proofErr w:type="spellStart"/>
      <w:r w:rsidR="004D71A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геодезическите</w:t>
      </w:r>
      <w:proofErr w:type="spellEnd"/>
      <w:r w:rsidR="004D71A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координати и височини, като акцентът се поставя на </w:t>
      </w:r>
      <w:proofErr w:type="spellStart"/>
      <w:r w:rsidR="004D71A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</w:t>
      </w:r>
      <w:r w:rsidR="0079242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зическите</w:t>
      </w:r>
      <w:proofErr w:type="spellEnd"/>
      <w:r w:rsidR="0079242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височини;</w:t>
      </w:r>
      <w:r w:rsidR="009425C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</w:p>
    <w:p w14:paraId="51F61E3E" w14:textId="338499CF" w:rsidR="004D71AA" w:rsidRPr="00744029" w:rsidRDefault="004D71AA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A818B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 отношение изискванията към използваните инструменти и </w:t>
      </w:r>
      <w:proofErr w:type="spellStart"/>
      <w:r w:rsidR="00A818B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</w:t>
      </w:r>
      <w:proofErr w:type="spellEnd"/>
      <w:r w:rsidR="00A818B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1929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се премахват по-конкретните изисквания (таблица 1 към чл. 49</w:t>
      </w:r>
      <w:r w:rsidR="00691E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 сега действащата инструкция</w:t>
      </w:r>
      <w:r w:rsidR="001929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), които </w:t>
      </w:r>
      <w:r w:rsidR="00934F4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необосновано</w:t>
      </w:r>
      <w:r w:rsidR="001929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утежняват текста на </w:t>
      </w:r>
      <w:r w:rsidR="00D9091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="001929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нструкцията, като </w:t>
      </w:r>
      <w:r w:rsidR="00A818B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се запазва </w:t>
      </w:r>
      <w:r w:rsidR="001929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единствено </w:t>
      </w:r>
      <w:r w:rsidR="00915B8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изискването за точността, </w:t>
      </w:r>
      <w:r w:rsidR="000D602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която </w:t>
      </w:r>
      <w:r w:rsidR="00915B8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нивелирите и </w:t>
      </w:r>
      <w:proofErr w:type="spellStart"/>
      <w:r w:rsidR="00915B8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латите</w:t>
      </w:r>
      <w:proofErr w:type="spellEnd"/>
      <w:r w:rsidR="00A818B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следва да осигуряват;</w:t>
      </w:r>
    </w:p>
    <w:p w14:paraId="69F324CF" w14:textId="062BE20F" w:rsidR="001929F2" w:rsidRPr="00744029" w:rsidRDefault="001929F2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прецизират се изискванията </w:t>
      </w:r>
      <w:r w:rsidR="001E65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(в приложение №12 към чл. 53, ал. 2)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 отношение проверки</w:t>
      </w:r>
      <w:r w:rsidR="0023051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те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уредите и пособията</w:t>
      </w:r>
      <w:r w:rsidR="0023051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които следва да се извършват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преди започване на измерванията и </w:t>
      </w:r>
      <w:r w:rsidR="00F307C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изискванията </w:t>
      </w:r>
      <w:r w:rsidR="0023051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към протоколите от съответните проверки</w:t>
      </w:r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Въвежда се изискване резултатите от проверките на уредите и пособията да се </w:t>
      </w:r>
      <w:r w:rsidR="00473BB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документират, вкл.</w:t>
      </w:r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 данни от измервания по време на проверката, като целта е да се елиминира възможността за формален подход към проверките. Допълват/прецизират се изискванията към съдържанието на протоколите от </w:t>
      </w:r>
      <w:proofErr w:type="spellStart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еталонирането</w:t>
      </w:r>
      <w:proofErr w:type="spellEnd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proofErr w:type="spellStart"/>
      <w:r w:rsidR="003C046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гравиметрите</w:t>
      </w:r>
      <w:proofErr w:type="spellEnd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така че да е лесно </w:t>
      </w:r>
      <w:proofErr w:type="spellStart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проследимо</w:t>
      </w:r>
      <w:proofErr w:type="spellEnd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използването на </w:t>
      </w:r>
      <w:r w:rsidR="003C046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получените </w:t>
      </w:r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стойности в последващ</w:t>
      </w:r>
      <w:r w:rsidR="0091079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ата обработка</w:t>
      </w:r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proofErr w:type="spellStart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A4542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</w:t>
      </w:r>
      <w:r w:rsidR="0023051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2FD815CE" w14:textId="455A58A3" w:rsidR="00230513" w:rsidRPr="00744029" w:rsidRDefault="00230513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0F678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премахва се изискването </w:t>
      </w:r>
      <w:proofErr w:type="spellStart"/>
      <w:r w:rsidR="000F678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="000F678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да се прекъсват при установяване на температурна инверсия, което води до неоправдани затруднения</w:t>
      </w:r>
      <w:r w:rsidR="00ED4C7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/забавяне</w:t>
      </w:r>
      <w:r w:rsidR="000F678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при реализирането на измерванията</w:t>
      </w:r>
      <w:r w:rsidR="00691E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(отменя се чл. 56, ал. 2)</w:t>
      </w:r>
      <w:r w:rsidR="00ED4C7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0FC95C4D" w14:textId="597DE0A8" w:rsidR="00ED4C72" w:rsidRPr="00744029" w:rsidRDefault="00ED4C72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премахва се изискването при работа с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едноскални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каквито са съвременните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баркодови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задължително да се извършва нивелация на два хоризонта</w:t>
      </w:r>
      <w:r w:rsidR="00F561F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</w:t>
      </w:r>
      <w:r w:rsidR="009C495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 проекта на инструкция се </w:t>
      </w:r>
      <w:r w:rsidR="00F561F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отменя</w:t>
      </w:r>
      <w:r w:rsidR="009C495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</w:t>
      </w:r>
      <w:r w:rsidR="00F561F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чл. 64</w:t>
      </w:r>
      <w:r w:rsidR="009C495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</w:t>
      </w:r>
      <w:r w:rsidR="000561D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тъй като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това не носи никаква практическа полза за крайните резултати от прецизната нивелация, а същевременно увеличава времето за изпълнение на измерванията от всяка станция. Практиката показа, че незначителното на пръв поглед забавяне на измерванията на всяка станция, с натрупване, води до значително общо забавяне за измерване на </w:t>
      </w:r>
      <w:proofErr w:type="spellStart"/>
      <w:r w:rsidR="008117E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="008117E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разстояния/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 без това да </w:t>
      </w:r>
      <w:r w:rsidR="00F8308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води до повишаване на точността</w:t>
      </w:r>
      <w:r w:rsidR="00CA297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26D3F2FE" w14:textId="010D7C22" w:rsidR="00F83081" w:rsidRPr="00744029" w:rsidRDefault="00F83081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>- отменят се текстовете</w:t>
      </w:r>
      <w:r w:rsidR="00B5305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(чл. 66 до чл. 70, вкл. и чл.</w:t>
      </w:r>
      <w:r w:rsidR="00DC54E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B5305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73</w:t>
      </w:r>
      <w:r w:rsidR="006C43B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свързани с конкретните процедури/методи за извършване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измервания, пренасяне на нивелирите 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станциониране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нивелирите и пр., </w:t>
      </w:r>
      <w:r w:rsidR="000561D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тъй като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изучаването и прилагането на тези процедури и методи са част от учебната програма и практика на специалност „Геодезия“ в съответните висши учебни заведения, а съгласно разпоредбата на чл. 9 на </w:t>
      </w:r>
      <w:r w:rsidR="00D9091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нструкцията – дейностите по създаването, поддържането и обновяването на ДНМ да се извършват от инженери по геодезия по смисъла на §1, т. 5 от </w:t>
      </w:r>
      <w:r w:rsidR="000561D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Допълнителните разпоредби на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Закона за геодезията и картографията;</w:t>
      </w:r>
    </w:p>
    <w:p w14:paraId="3AE6AEFE" w14:textId="30DD2275" w:rsidR="007E2CFE" w:rsidRPr="00744029" w:rsidRDefault="00CA2971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за нивелация 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I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клас се променя </w:t>
      </w:r>
      <w:r w:rsidR="00A524F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дефинираното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117E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максимално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117E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разстояние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между нивелира 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(дължината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визурите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) от 30 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 xml:space="preserve">m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25 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m</w:t>
      </w:r>
      <w:r w:rsidR="009C495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(чл. 72 от проекта на инструкция)</w:t>
      </w:r>
      <w:r w:rsidR="0002393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 Ц</w:t>
      </w:r>
      <w:r w:rsidR="009548B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ел</w:t>
      </w:r>
      <w:r w:rsidR="0002393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та е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натрупване на </w:t>
      </w:r>
      <w:r w:rsidR="008546E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по-голям обем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данни</w:t>
      </w:r>
      <w:r w:rsidR="0002393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които да осигурят</w:t>
      </w:r>
      <w:r w:rsidR="008546E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по-добра възможност за статистически анализ на случайните извадки, </w:t>
      </w:r>
      <w:r w:rsidR="006706D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съответно за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статистическа оценка на точността</w:t>
      </w:r>
      <w:r w:rsidR="004F37A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какъвто е съвременният подход за оценка на </w:t>
      </w:r>
      <w:proofErr w:type="spellStart"/>
      <w:r w:rsidR="004F37A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геодезическите</w:t>
      </w:r>
      <w:proofErr w:type="spellEnd"/>
      <w:r w:rsidR="004F37A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</w:t>
      </w:r>
      <w:r w:rsidR="005E24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както и намаляване влиянието на рефракцията в приземния въздушен случай, </w:t>
      </w:r>
      <w:r w:rsidR="00982E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вкл. предвид премахването на изискването </w:t>
      </w:r>
      <w:proofErr w:type="spellStart"/>
      <w:r w:rsidR="00982E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="00982EE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да се прекъсват при установяване на температурна инверсия</w:t>
      </w:r>
      <w:r w:rsidR="006706D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3ED428E1" w14:textId="3B625CA1" w:rsidR="007E2CFE" w:rsidRPr="00744029" w:rsidRDefault="007E2CFE" w:rsidP="008B293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променят се изискванията към измерванията на температурата 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въздуха </w:t>
      </w:r>
      <w:r w:rsidR="00B4799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(чл. 77 от инструкцията)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във връзка с </w:t>
      </w:r>
      <w:r w:rsidR="008E132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извеждане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коефициента на рефракция и изчисляване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поправката за вертикална рефракция в приземния въздушен слой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(поправката)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</w:t>
      </w:r>
      <w:r w:rsidR="006B250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Промен</w:t>
      </w:r>
      <w:r w:rsidR="00B127E7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я се дефинираната стойност на точността, с която се </w:t>
      </w:r>
      <w:r w:rsidR="004079A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определя температурата </w:t>
      </w:r>
      <w:r w:rsidR="006B250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от ±0.05°С на</w:t>
      </w:r>
      <w:r w:rsidR="004079A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±0.1°С. Промяната е продиктувана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от </w:t>
      </w:r>
      <w:r w:rsidR="00F2091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теоретично обоснованата, а и установена на практика невъзможност, 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 реални условия (извън лаборатория)</w:t>
      </w:r>
      <w:r w:rsidR="00F2091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температурата на въздуха да се определи с досега изискваната </w:t>
      </w:r>
      <w:r w:rsidR="006B250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точност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Едновременно с това се поставя изискване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то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-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система</w:t>
      </w:r>
      <w:r w:rsidR="0019487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от температурни датчици и регистратор на данни за запис на направените температурни измервания да 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проверен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а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/настроен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а</w:t>
      </w:r>
      <w:r w:rsidR="004B116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 метрологична лаборатория, притежаваща сертификат със съответния обхват.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За по-коректно определяне на поправката</w:t>
      </w:r>
      <w:r w:rsidR="005B598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с изменението в чл. 77, ал. 3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е поставено изискването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: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температурата да се измерва </w:t>
      </w:r>
      <w:r w:rsidR="00244A7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при двете </w:t>
      </w:r>
      <w:proofErr w:type="spellStart"/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лати</w:t>
      </w:r>
      <w:proofErr w:type="spellEnd"/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а за по-добра съгласуваност с теоретичните постановки, вкл. </w:t>
      </w:r>
      <w:r w:rsidR="0019487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</w:t>
      </w:r>
      <w:r w:rsidR="004079A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</w:t>
      </w:r>
      <w:r w:rsidR="00CF301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т.нар. допълнително условие, </w:t>
      </w:r>
      <w:r w:rsidR="00EE584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височините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EE584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които се измерва температурата са променени от  0.50 m, 1.10 m и 2.50 m на 0.30 m, 0.90 m и 2.70 m.</w:t>
      </w:r>
      <w:r w:rsidR="003A3CD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Очакването е да се увеличи процентът на станциите, в които може да се изведе коефициент</w:t>
      </w:r>
      <w:r w:rsidR="004721D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ът</w:t>
      </w:r>
      <w:r w:rsidR="003A3CD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r w:rsidR="002469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рефракция, </w:t>
      </w:r>
      <w:proofErr w:type="spellStart"/>
      <w:r w:rsidR="002469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т.к</w:t>
      </w:r>
      <w:proofErr w:type="spellEnd"/>
      <w:r w:rsidR="002469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научните изследвания показват, че поправката за вертикалната рефракция се натрупва систематично и в дълги </w:t>
      </w:r>
      <w:proofErr w:type="spellStart"/>
      <w:r w:rsidR="002469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</w:t>
      </w:r>
      <w:proofErr w:type="spellEnd"/>
      <w:r w:rsidR="002469E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линии може да достигне до няколко </w:t>
      </w:r>
      <w:r w:rsidR="002469ED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cm.</w:t>
      </w:r>
    </w:p>
    <w:p w14:paraId="6C311B13" w14:textId="7D5FE756" w:rsidR="00295C10" w:rsidRPr="00744029" w:rsidRDefault="00F61418" w:rsidP="008E4129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Практиката при прилагане на </w:t>
      </w:r>
      <w:r w:rsidR="00D9091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нструкцията от 2021 г. 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досега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показа необходимост от  прецизиране на някои общи/непълни текстове, позволяващи различно тълкуване</w:t>
      </w:r>
      <w:r w:rsidR="004F37A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както и от допълване на изисквания по</w:t>
      </w:r>
      <w:r w:rsidR="00295C1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отношение </w:t>
      </w:r>
      <w:r w:rsidR="002D0B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</w:t>
      </w:r>
      <w:proofErr w:type="spellStart"/>
      <w:r w:rsidR="00295C1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295C1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ГНСС измервания</w:t>
      </w:r>
      <w:r w:rsidR="004F37A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с което да се гарантира хомогенност на резултатите. По тази причина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а и с цел унифициране на предаваните данни и материали, </w:t>
      </w:r>
      <w:r w:rsidR="008C61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създадени нови текстове, </w:t>
      </w:r>
      <w:r w:rsidR="008C61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допълнени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са </w:t>
      </w:r>
      <w:r w:rsidR="008C61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досегашните и са създадени нови </w:t>
      </w:r>
      <w:r w:rsidR="008C61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 xml:space="preserve">приложения. По съществените допълнения </w:t>
      </w:r>
      <w:r w:rsidR="004102B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 </w:t>
      </w:r>
      <w:r w:rsidR="004102BB" w:rsidRPr="00744029">
        <w:rPr>
          <w:rFonts w:ascii="Times New Roman" w:eastAsia="MS Mincho" w:hAnsi="Times New Roman" w:cs="Times New Roman"/>
          <w:bCs/>
          <w:color w:val="auto"/>
          <w:szCs w:val="20"/>
          <w:lang w:eastAsia="en-US" w:bidi="ar-SA"/>
        </w:rPr>
        <w:t xml:space="preserve">Глава седма </w:t>
      </w:r>
      <w:bookmarkStart w:id="2" w:name="_Toc16691432"/>
      <w:r w:rsidR="004102BB" w:rsidRPr="00744029">
        <w:rPr>
          <w:rFonts w:ascii="Times New Roman" w:eastAsia="MS Mincho" w:hAnsi="Times New Roman" w:cs="Times New Roman"/>
          <w:bCs/>
          <w:color w:val="auto"/>
          <w:szCs w:val="20"/>
          <w:lang w:eastAsia="en-US" w:bidi="ar-SA"/>
        </w:rPr>
        <w:t>„</w:t>
      </w:r>
      <w:proofErr w:type="spellStart"/>
      <w:r w:rsidR="004102BB" w:rsidRPr="00744029">
        <w:rPr>
          <w:rFonts w:ascii="Times New Roman" w:eastAsia="MS Mincho" w:hAnsi="Times New Roman" w:cs="Times New Roman"/>
          <w:bCs/>
          <w:color w:val="auto"/>
          <w:szCs w:val="20"/>
          <w:lang w:eastAsia="en-US" w:bidi="ar-SA"/>
        </w:rPr>
        <w:t>Гравиметрични</w:t>
      </w:r>
      <w:proofErr w:type="spellEnd"/>
      <w:r w:rsidR="004102BB" w:rsidRPr="00744029">
        <w:rPr>
          <w:rFonts w:ascii="Times New Roman" w:eastAsia="MS Mincho" w:hAnsi="Times New Roman" w:cs="Times New Roman"/>
          <w:bCs/>
          <w:color w:val="auto"/>
          <w:szCs w:val="20"/>
          <w:lang w:eastAsia="en-US" w:bidi="ar-SA"/>
        </w:rPr>
        <w:t xml:space="preserve"> и ГНСС измервания</w:t>
      </w:r>
      <w:bookmarkEnd w:id="2"/>
      <w:r w:rsidR="004102BB" w:rsidRPr="00744029">
        <w:rPr>
          <w:rFonts w:ascii="Times New Roman" w:eastAsia="MS Mincho" w:hAnsi="Times New Roman" w:cs="Times New Roman"/>
          <w:bCs/>
          <w:color w:val="auto"/>
          <w:szCs w:val="20"/>
          <w:lang w:eastAsia="en-US" w:bidi="ar-SA"/>
        </w:rPr>
        <w:t xml:space="preserve">“ на сега действащата инструкция </w:t>
      </w:r>
      <w:r w:rsidR="008C61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са:</w:t>
      </w:r>
    </w:p>
    <w:p w14:paraId="32E891DA" w14:textId="003C4C0B" w:rsidR="008C616A" w:rsidRPr="00744029" w:rsidRDefault="008C616A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поставено е изискването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гравиметричният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ход да се свързва с миниум 3 (три) изходни точки с абсолютни стойности на силата на тежестта, по възможност, разположени равномерно по продължение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нивелачната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линия;</w:t>
      </w:r>
    </w:p>
    <w:p w14:paraId="1F302C0B" w14:textId="243DE597" w:rsidR="008C616A" w:rsidRPr="00744029" w:rsidRDefault="008C616A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 конкретизира</w:t>
      </w:r>
      <w:r w:rsidR="0055534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допълнителните данни, които се събират по време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измервания за всяка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гравиметрична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станция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като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: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момент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ът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измерване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регистриран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 точност 1 минута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височина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инструмента спрямо основата и спрямо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нивелачния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16165F4A" w14:textId="612525DC" w:rsidR="008C616A" w:rsidRPr="00744029" w:rsidRDefault="008C616A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конкретизиран е подходът за 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получаване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окончателната стойност на</w:t>
      </w:r>
      <w:r w:rsidR="00275E1D" w:rsidRPr="00744029">
        <w:rPr>
          <w:color w:val="auto"/>
        </w:rPr>
        <w:t xml:space="preserve"> </w:t>
      </w:r>
      <w:r w:rsidR="00275E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разликата в ускорението на силата на тежестта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275E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(</w:t>
      </w:r>
      <w:proofErr w:type="spellStart"/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Δg</w:t>
      </w:r>
      <w:proofErr w:type="spellEnd"/>
      <w:r w:rsidR="00275E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)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като средно-</w:t>
      </w:r>
      <w:proofErr w:type="spellStart"/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тежестна</w:t>
      </w:r>
      <w:proofErr w:type="spellEnd"/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стойност от двете крайни стойности на </w:t>
      </w:r>
      <w:proofErr w:type="spellStart"/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гравиметричните</w:t>
      </w:r>
      <w:proofErr w:type="spellEnd"/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разлики. Регламентирано е условието</w:t>
      </w:r>
      <w:r w:rsidR="004721D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при ко</w:t>
      </w:r>
      <w:r w:rsidR="004721D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то </w:t>
      </w:r>
      <w:r w:rsidR="00C5109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тези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стойности се „осредняват“</w:t>
      </w:r>
      <w:r w:rsidR="00C5109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а именно </w:t>
      </w:r>
      <w:r w:rsidR="00A95DC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когато</w:t>
      </w:r>
      <w:r w:rsidR="00C5109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разликата между 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тях </w:t>
      </w:r>
      <w:r w:rsidR="00C51099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е 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не 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по-голяма 0.20 </w:t>
      </w:r>
      <w:proofErr w:type="spellStart"/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mGal</w:t>
      </w:r>
      <w:proofErr w:type="spellEnd"/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е указано, че п</w:t>
      </w:r>
      <w:r w:rsidR="00806D3B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ри по-голяма разлика се използва само измерването с по-добра оценка  на точността</w:t>
      </w:r>
      <w:r w:rsidR="00276A5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а при сходна оценка на точността се извършват повторни измервания</w:t>
      </w:r>
      <w:r w:rsidR="006E642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735263AF" w14:textId="77777777" w:rsidR="0055534D" w:rsidRPr="00744029" w:rsidRDefault="0055534D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завишени са изискванията при определяне </w:t>
      </w:r>
      <w:proofErr w:type="spellStart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геодезическите</w:t>
      </w:r>
      <w:proofErr w:type="spellEnd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координати и </w:t>
      </w:r>
      <w:proofErr w:type="spellStart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</w:t>
      </w:r>
      <w:proofErr w:type="spellEnd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височини на </w:t>
      </w:r>
      <w:proofErr w:type="spellStart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реперите</w:t>
      </w:r>
      <w:proofErr w:type="spellEnd"/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а именно - чрез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статични ГНСС измервания и се поставя изискването обработката на измерванията да се извършва със специализиран софтуер в общ проект</w:t>
      </w:r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(мрежа),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при задължителна проверка на геометричните условия в мрежата, вкл. резултати от „свободното” ѝ изравнение. </w:t>
      </w:r>
      <w:r w:rsidR="00B16E7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 съответствие с тези изисквания са допълнени и изискванията към предаваните материали и данни</w:t>
      </w:r>
      <w:r w:rsidR="004F130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вкл. е допълнен текст (създадена е ал. 1 в чл. 104), с който се </w:t>
      </w:r>
      <w:r w:rsidR="002A3D5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регламентират</w:t>
      </w:r>
      <w:r w:rsidR="004F130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изискванията към вида и съдържанието на схемите на ГНСС измерванията</w:t>
      </w:r>
      <w:r w:rsidR="00B16E7E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Целта на завишените критерии е </w:t>
      </w:r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гарантиране на 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точност</w:t>
      </w:r>
      <w:r w:rsidR="002127F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 най-вече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proofErr w:type="spellStart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геодезическата</w:t>
      </w:r>
      <w:proofErr w:type="spellEnd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височина с оглед натрупване на качествени данни за извеждане</w:t>
      </w:r>
      <w:r w:rsidR="00E22AD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/валидиране</w:t>
      </w:r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proofErr w:type="spellStart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високоточен</w:t>
      </w:r>
      <w:proofErr w:type="spellEnd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квазигеоид</w:t>
      </w:r>
      <w:proofErr w:type="spellEnd"/>
      <w:r w:rsidR="007A33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за тери</w:t>
      </w:r>
      <w:r w:rsidR="00AA7FF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торията на страната;</w:t>
      </w:r>
    </w:p>
    <w:p w14:paraId="3AC72D8E" w14:textId="2710462D" w:rsidR="00AA7FF2" w:rsidRPr="00744029" w:rsidRDefault="00AA7FF2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допълнен е текстът относно определяне координатите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, върху които не могат да се извършват непосредствени ГНСС измервания. Поставено е изискването </w:t>
      </w:r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основният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времен</w:t>
      </w:r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ен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знак</w:t>
      </w:r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да се координира прецизно - в статичен режим</w:t>
      </w:r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да се включи в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ГНСС схемата на мрежата</w:t>
      </w:r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в съответния </w:t>
      </w:r>
      <w:proofErr w:type="spellStart"/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нивелачен</w:t>
      </w:r>
      <w:proofErr w:type="spellEnd"/>
      <w:r w:rsidR="00934E6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ход.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 оглед яснота и по-лесен контрол е поставено и изискване към </w:t>
      </w:r>
      <w:r w:rsidR="00093C5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формиране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номера</w:t>
      </w:r>
      <w:r w:rsidR="00093C5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та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временни</w:t>
      </w:r>
      <w:r w:rsidR="00093C53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те знаци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Изрично е указано, че пренасянето на </w:t>
      </w:r>
      <w:proofErr w:type="spellStart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геодезическата</w:t>
      </w:r>
      <w:proofErr w:type="spellEnd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височина до същинския </w:t>
      </w:r>
      <w:proofErr w:type="spellStart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нивелачен</w:t>
      </w:r>
      <w:proofErr w:type="spellEnd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</w:t>
      </w:r>
      <w:proofErr w:type="spellEnd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се извършва чрез геометрична нивелация. Изискването е поставено, както бе посочено и по-горе, поради необходимостта от натрупване на качествени данни за извеждане</w:t>
      </w:r>
      <w:r w:rsidR="00E22AD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/валидиране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r w:rsidR="008C6B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максимално възможни по точност и представителност </w:t>
      </w:r>
      <w:proofErr w:type="spellStart"/>
      <w:r w:rsidR="008C6B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геоид</w:t>
      </w:r>
      <w:proofErr w:type="spellEnd"/>
      <w:r w:rsidR="008C6B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</w:t>
      </w:r>
      <w:proofErr w:type="spellStart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квазигеоид</w:t>
      </w:r>
      <w:proofErr w:type="spellEnd"/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8C6B1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височинна референтна повърхнина </w:t>
      </w:r>
      <w:r w:rsidR="007B26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за територията на страната</w:t>
      </w:r>
      <w:r w:rsidR="00C912C2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062B7988" w14:textId="77777777" w:rsidR="00C912C2" w:rsidRPr="00744029" w:rsidRDefault="00C912C2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>-</w:t>
      </w:r>
      <w:r w:rsidRPr="00744029">
        <w:rPr>
          <w:color w:val="auto"/>
        </w:rPr>
        <w:t xml:space="preserve">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поставя се изискване, с използване на кинематични </w:t>
      </w:r>
      <w:r w:rsidR="00856CB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методи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 реално време (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RTK)</w:t>
      </w:r>
      <w:r w:rsidR="00856CB0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 да се определят 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географски координати 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геодезическите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височини на използваните еталонни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гравиметрични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точки, с което се гарантира последващи измервания да се извършват на същото място (особено в случаите, в които точката не може да се </w:t>
      </w:r>
      <w:r w:rsidR="00B01184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обозначи с траен знак)</w:t>
      </w:r>
      <w:r w:rsidR="005C24A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</w:p>
    <w:p w14:paraId="4CE1FAD2" w14:textId="37331340" w:rsidR="005C24AC" w:rsidRPr="00744029" w:rsidRDefault="003B2052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 допълнени са</w:t>
      </w:r>
      <w:r w:rsidR="005C24A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приложение № 17 „Координатен регистър на </w:t>
      </w:r>
      <w:proofErr w:type="spellStart"/>
      <w:r w:rsidR="000C3C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="000C3C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="005C24A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реперите</w:t>
      </w:r>
      <w:proofErr w:type="spellEnd"/>
      <w:r w:rsidR="005C24A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....“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приложение № 28 „Списък 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.....“ </w:t>
      </w:r>
      <w:r w:rsidR="005C24A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 данни за точността по положение и височина</w:t>
      </w:r>
      <w:r w:rsidR="000C3C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</w:t>
      </w:r>
      <w:proofErr w:type="spellStart"/>
      <w:r w:rsidR="000C3C8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съответно с данни за точността на определената стойност на ускорението на силата на тежестта в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нивелачните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Данните за точността на определените величини са необходими за извършване на </w:t>
      </w:r>
      <w:r w:rsidR="00FD615D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последващи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оценки и анализи, необходими за бъдещото изравнени</w:t>
      </w:r>
      <w:r w:rsidR="00E22AD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е на мрежата, извеждането/валидирането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на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квазигеоида</w:t>
      </w:r>
      <w:proofErr w:type="spellEnd"/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/височинната референтна повърхнина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пр.; </w:t>
      </w:r>
    </w:p>
    <w:p w14:paraId="14602EC5" w14:textId="2C8569E6" w:rsidR="005C24AC" w:rsidRPr="00744029" w:rsidRDefault="005C24AC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 с цел уеднаквяване на практиките, в т.ч. вида и обема на предоставяната информация за измерванията, са създадени 2 (две) нови приложения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към чл. 86, ал. 8 от проекта на инструкция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, съдържащи таблици, в които да се представя систематизираната информация за извършените RTK и статични ГНСС измервания;</w:t>
      </w:r>
    </w:p>
    <w:p w14:paraId="3C35AAA4" w14:textId="71C78CD8" w:rsidR="000224EA" w:rsidRPr="00744029" w:rsidRDefault="00E22AD1" w:rsidP="000224E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A276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в съответствие с допълненията, направени по отношение обема и съдържанието на проекта на </w:t>
      </w:r>
      <w:proofErr w:type="spellStart"/>
      <w:r w:rsidR="00A276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нивелачната</w:t>
      </w:r>
      <w:proofErr w:type="spellEnd"/>
      <w:r w:rsidR="00A276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линия, 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както и по отношение документирането на проверките на уредите и пособията на терен (преди измерванията), </w:t>
      </w:r>
      <w:r w:rsidR="00A276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към материалите и данните, които се изработват след приключване работата на терен 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са добавени изисквания</w:t>
      </w:r>
      <w:r w:rsidR="00A2769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да се представя схема на ГНСС измерванията в подходящ мащаб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и протоколи от полските проверки с данни от измерванията (допълва се чл. 87 от инструкцията);</w:t>
      </w:r>
    </w:p>
    <w:p w14:paraId="77B79FFE" w14:textId="7AB9927C" w:rsidR="000224EA" w:rsidRPr="00744029" w:rsidRDefault="000224EA" w:rsidP="000224E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- наименованието „Обща грешка за 1 </w:t>
      </w:r>
      <w:r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km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двойно нивелирано разстояние“ (чл. 96, ал. 1, т. 4) е коригирано  на „Обща грешка“, с което се отстранява  терминологична неточност;</w:t>
      </w:r>
    </w:p>
    <w:p w14:paraId="161B774D" w14:textId="5259AD56" w:rsidR="000224EA" w:rsidRPr="00744029" w:rsidRDefault="00107870" w:rsidP="000224E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</w:t>
      </w:r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премахва се изискването изпълнителите да изчисляват нормалните височини на </w:t>
      </w:r>
      <w:proofErr w:type="spellStart"/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реперите</w:t>
      </w:r>
      <w:proofErr w:type="spellEnd"/>
      <w:r w:rsidR="00A64101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 xml:space="preserve"> </w:t>
      </w:r>
      <w:proofErr w:type="spellStart"/>
      <w:r w:rsidR="00A64101" w:rsidRPr="00744029">
        <w:rPr>
          <w:rFonts w:ascii="Times New Roman" w:eastAsia="MS Mincho" w:hAnsi="Times New Roman" w:cs="Times New Roman"/>
          <w:color w:val="auto"/>
          <w:szCs w:val="20"/>
          <w:lang w:val="en-US" w:eastAsia="en-US" w:bidi="ar-SA"/>
        </w:rPr>
        <w:t>по</w:t>
      </w:r>
      <w:proofErr w:type="spellEnd"/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два начина - от нормални превишения и от </w:t>
      </w:r>
      <w:proofErr w:type="spellStart"/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геопотенциални</w:t>
      </w:r>
      <w:proofErr w:type="spellEnd"/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коти (числа), като из</w:t>
      </w:r>
      <w:r w:rsidR="00A641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ч</w:t>
      </w:r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ис</w:t>
      </w:r>
      <w:r w:rsidR="00A64101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л</w:t>
      </w:r>
      <w:r w:rsidR="00243BB5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яването по втория начин се запазва като контролно и се вменява в задължение на АГКК</w:t>
      </w:r>
      <w:r w:rsidR="00BA4F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. В съответствие с това са въведени необходимите промени в чл. 98 и приложени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я</w:t>
      </w:r>
      <w:r w:rsidR="00BA4F1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№</w:t>
      </w:r>
      <w:r w:rsidR="00E5562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22 </w:t>
      </w:r>
      <w:r w:rsidR="0099654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и №23 </w:t>
      </w:r>
      <w:r w:rsidR="00E5562F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към него;</w:t>
      </w:r>
      <w:r w:rsidR="000224E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</w:p>
    <w:p w14:paraId="307BE578" w14:textId="3426A5FC" w:rsidR="00C10558" w:rsidRPr="00744029" w:rsidRDefault="000224EA" w:rsidP="00C1055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възстановява се принципът нормалната поправка да се разделя на I поправка (за </w:t>
      </w:r>
      <w:proofErr w:type="spellStart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непаралелност</w:t>
      </w:r>
      <w:proofErr w:type="spellEnd"/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на ниво–повърхнините в система „Нормални височини“) и II поправка (за отклонението на действителното гравитационно поле от нормалното). В съответствие с това са въведени необходимите промени в чл. 99 и приложенията към него</w:t>
      </w:r>
      <w:r w:rsidR="005F614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(приложения №24 и №25)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;</w:t>
      </w:r>
      <w:r w:rsidR="00C1055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</w:p>
    <w:p w14:paraId="724E0A80" w14:textId="633AB6EB" w:rsidR="00C10558" w:rsidRPr="00744029" w:rsidRDefault="00C10558" w:rsidP="00C10558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- увеличени са сроковете (чл. 111, ал. 3 от инструкцията), в които се насрочват заседанията на комисията за приемане на работата и документацията</w:t>
      </w:r>
      <w:r w:rsidRPr="00744029">
        <w:rPr>
          <w:color w:val="auto"/>
        </w:rPr>
        <w:t xml:space="preserve">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по създаването и поддържането на ДНМ I и II клас. Практиката показа, че регламентираните в сега действащата </w:t>
      </w:r>
      <w:r w:rsidR="00D9091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lastRenderedPageBreak/>
        <w:t>и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нструкция, от една страна са крайно недостатъчни за цялостно и задълбочено разглеждане и оценяване на представяните материали и данни, а от друга – е невъзможно да се спаз</w:t>
      </w:r>
      <w:r w:rsidR="0003160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ва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т в случаите, в които се извършва контрол и от външен изпълнител;</w:t>
      </w:r>
    </w:p>
    <w:p w14:paraId="6D0CC058" w14:textId="7767FA26" w:rsidR="00DB1559" w:rsidRPr="00744029" w:rsidRDefault="004F130A" w:rsidP="008C616A">
      <w:pPr>
        <w:widowControl/>
        <w:tabs>
          <w:tab w:val="left" w:pos="993"/>
        </w:tabs>
        <w:spacing w:line="360" w:lineRule="auto"/>
        <w:ind w:firstLine="706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- </w:t>
      </w:r>
      <w:r w:rsidR="00BD4C5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прецизирани и допълнени са текстовете, свързани с</w:t>
      </w:r>
      <w:r w:rsidR="00BD4C56" w:rsidRPr="00744029">
        <w:rPr>
          <w:color w:val="auto"/>
        </w:rPr>
        <w:t xml:space="preserve"> </w:t>
      </w:r>
      <w:r w:rsidR="00BD4C56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контрола и приемането на работата по извършване на нивелация I и II клас, </w:t>
      </w:r>
      <w:r w:rsidR="00C1055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като се предвижда извършване на проверка на предадените данни от измерванията и обработката им, както и се дава възможност изпълнителният директор на АГКК да възлага извършването на контрол и проверка на външен изпълнител, вкл. чрез повторни/контролни измервания</w:t>
      </w:r>
      <w:r w:rsidR="00D83E7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. Целта на допълненията </w:t>
      </w:r>
      <w:r w:rsidR="005F614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в настоящия чл. 11</w:t>
      </w:r>
      <w:r w:rsidR="00C10558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2</w:t>
      </w:r>
      <w:r w:rsidR="005F614C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 xml:space="preserve"> </w:t>
      </w:r>
      <w:r w:rsidR="00D83E7A"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е увеличаване на гаранциите за качеството на крайните резултати;</w:t>
      </w:r>
    </w:p>
    <w:p w14:paraId="1B71A816" w14:textId="15B72AFC" w:rsidR="00704ED7" w:rsidRPr="00744029" w:rsidRDefault="00BE2156" w:rsidP="00704ED7">
      <w:pPr>
        <w:pStyle w:val="ListParagraph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textAlignment w:val="center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намалява се броя</w:t>
      </w:r>
      <w:r w:rsidR="00A64101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т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на материалите и данните, предавани на хартия. Промяната </w:t>
      </w:r>
      <w:r w:rsidR="00630BD9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в приложение №29 към чл. 108 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е продиктувана от факта, че информацията/данните, съдържащи се в разпечатани на хартиен носител </w:t>
      </w:r>
      <w:r w:rsidR="005F0981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материали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, не са предмет на последваща обработка, и от тях не се предоставя информация (услуги), което наложи извода, че не съществува необходимост от съхраняването им на хартиен носител;</w:t>
      </w:r>
      <w:r w:rsidR="00704ED7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</w:t>
      </w:r>
    </w:p>
    <w:p w14:paraId="203AD3AB" w14:textId="2615A8E9" w:rsidR="008B4C20" w:rsidRPr="00744029" w:rsidRDefault="0049674F" w:rsidP="003810C3">
      <w:pPr>
        <w:pStyle w:val="ListParagraph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textAlignment w:val="center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в </w:t>
      </w:r>
      <w:r w:rsidR="00517509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Д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опълнителната разпоредба се </w:t>
      </w:r>
      <w:r w:rsidR="008B4C20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прецизират 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всички дефиниции</w:t>
      </w:r>
      <w:r w:rsidR="008B4C20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, с 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оглед</w:t>
      </w:r>
      <w:r w:rsidR="008B4C20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</w:t>
      </w: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по-доброто съответствие с терминологията, възприета в българските научни среди и използвана в учебните програми, учебници/ръководства по геодезия; публикации на български език в областта на височинните (вертикалните) системи.</w:t>
      </w:r>
    </w:p>
    <w:p w14:paraId="7C24F240" w14:textId="5E88314E" w:rsidR="00425A23" w:rsidRPr="00744029" w:rsidRDefault="00B63FDC" w:rsidP="0049674F">
      <w:pPr>
        <w:pStyle w:val="ListParagraph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textAlignment w:val="center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>с Преходни</w:t>
      </w:r>
      <w:r w:rsidR="006D19EF"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>те</w:t>
      </w:r>
      <w:r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 xml:space="preserve"> и заключителни разпоредби към проекта за изменение и допълнение на инструкцията използваните определения (термини) в основния текст на инструкцията са приведени в съответствие с </w:t>
      </w:r>
      <w:r w:rsidR="0049674F"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 xml:space="preserve">допълненията и </w:t>
      </w:r>
      <w:r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>изменени</w:t>
      </w:r>
      <w:r w:rsidR="0049674F"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>ята</w:t>
      </w:r>
      <w:r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 xml:space="preserve"> в Допълнителната разпоредба</w:t>
      </w:r>
      <w:r w:rsidR="00425A23"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 xml:space="preserve">. </w:t>
      </w:r>
      <w:r w:rsidR="00DB73EF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</w:t>
      </w:r>
    </w:p>
    <w:p w14:paraId="3448BC3C" w14:textId="29D878AB" w:rsidR="00B60D82" w:rsidRPr="00744029" w:rsidRDefault="00517509" w:rsidP="00B60D82">
      <w:pPr>
        <w:pStyle w:val="ListParagraph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textAlignment w:val="center"/>
        <w:rPr>
          <w:rFonts w:ascii="Times New Roman" w:eastAsia="MS Mincho" w:hAnsi="Times New Roman" w:cs="Times New Roman"/>
          <w:iCs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в</w:t>
      </w:r>
      <w:r w:rsidR="00B60D82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</w:t>
      </w:r>
      <w:r w:rsidR="00B60D82" w:rsidRPr="00744029">
        <w:rPr>
          <w:rFonts w:ascii="Times New Roman" w:eastAsia="MS Mincho" w:hAnsi="Times New Roman" w:cs="Times New Roman"/>
          <w:iCs/>
          <w:color w:val="auto"/>
          <w:lang w:eastAsia="en-US"/>
        </w:rPr>
        <w:t>съответствие</w:t>
      </w:r>
      <w:r w:rsidR="00B60D82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 xml:space="preserve"> с измененията и допълненията в основния текст на </w:t>
      </w:r>
      <w:r w:rsidR="00D9091C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и</w:t>
      </w:r>
      <w:r w:rsidR="00B60D82" w:rsidRPr="00744029">
        <w:rPr>
          <w:rFonts w:ascii="Times New Roman" w:eastAsia="MS Mincho" w:hAnsi="Times New Roman" w:cs="Times New Roman"/>
          <w:iCs/>
          <w:color w:val="auto"/>
          <w:lang w:eastAsia="en-US" w:bidi="ar-SA"/>
        </w:rPr>
        <w:t>нструкцията са извършени променени и в приложенията, които са неразделна част от нея.</w:t>
      </w:r>
    </w:p>
    <w:p w14:paraId="1308860C" w14:textId="420384C4" w:rsidR="000B55C9" w:rsidRPr="00744029" w:rsidRDefault="000B55C9" w:rsidP="000B55C9">
      <w:pPr>
        <w:widowControl/>
        <w:spacing w:line="360" w:lineRule="auto"/>
        <w:ind w:firstLine="720"/>
        <w:jc w:val="both"/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</w:pPr>
    </w:p>
    <w:p w14:paraId="34124E4F" w14:textId="0C55687F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>3.</w:t>
      </w: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ab/>
        <w:t>Финансови и други средства, необходими за прилагането на новата уредба:</w:t>
      </w:r>
    </w:p>
    <w:p w14:paraId="3D5305F0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>За прилагането на правилата на проекта на инструкция не са необходими допълнителни финансови средства и предложеният проект на акт не води до въздействие върху държавния бюджет. За приемането на проекта на акт не са необходими допълнителни разходи/трансфери и други плащания по съответните бюджети.</w:t>
      </w:r>
    </w:p>
    <w:p w14:paraId="689B4219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2743AAAD" w14:textId="3450BC5A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>4.</w:t>
      </w: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ab/>
        <w:t>Очаквани резултати от прилагането на проекта на акт:</w:t>
      </w:r>
    </w:p>
    <w:p w14:paraId="54A04383" w14:textId="20962763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ab/>
        <w:t xml:space="preserve">В резултат на предложените изменения и допълнения </w:t>
      </w:r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ще се постигнат: отменяне и/или изменение на изискванията към извършваните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нивелачни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измервания и тяхната обработка, които затрудняват или забавят тези дейности без това да води до подобряване на крайните резултати; завишаване на други изисквания, с което се увеличават гаранциите за точност и качеството на резултатите и едновременно с това се повишава ефективността на контрола от </w:t>
      </w:r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lastRenderedPageBreak/>
        <w:t xml:space="preserve">страна на АГКК; създаване на предпоставки за извеждане на коефициента на рефракция в по-голям процент от станциите и изчисляване поправката за рефракция; осигуряване на еднозначност при използване на изходните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гравиметрични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точки; детайлизиране на изискванията към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гравиметричните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измервания и установяване на единна практика по обработката им; завишаване на изискванията към ГНСС измерванията и тяхната обработка и към определянето на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геодезическите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височини на неудобните за преки ГНСС измервания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репери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, както за гарантиране достоверността и точността на получените резултати, така и за гарантиране на възможността получените резултати да се използват по-пълноценно за извеждане на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квазигеоид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/височинна референтна повърхнина за територията на страната; отменяне на текстове, които необосновано натоварват съдържанието на инструкцията; отстраняване на технически грешки и/или терминологични неточности в някои дефиниции и/или привеждането им в съответствие с други нормативни актове и с терминологията традиционно използвана в учебници/ръководства по геодезия; допълване и прецизиране на текстове с оглед избягване на различно тълкуване и/или неясноти по прилагането на разпоредбите; намаляване на обема на съхраняваните материали на хартиен носител в архив; унифициране на цифровата документация, респективно на цифровите досиета на </w:t>
      </w:r>
      <w:proofErr w:type="spellStart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>нивелачните</w:t>
      </w:r>
      <w:proofErr w:type="spellEnd"/>
      <w:r w:rsidR="006D19EF"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линии.</w:t>
      </w: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 </w:t>
      </w:r>
    </w:p>
    <w:p w14:paraId="234ACA7D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0746E558" w14:textId="5D0B67D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>5.</w:t>
      </w: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ab/>
        <w:t xml:space="preserve">Анализ за съответствие с правото на Европейския съюз: </w:t>
      </w:r>
    </w:p>
    <w:p w14:paraId="05F110D1" w14:textId="77777777" w:rsidR="00E31FB9" w:rsidRPr="00744029" w:rsidRDefault="00E31FB9" w:rsidP="00E31FB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44029">
        <w:rPr>
          <w:rFonts w:ascii="Times New Roman" w:eastAsia="Times New Roman" w:hAnsi="Times New Roman" w:cs="Times New Roman"/>
          <w:color w:val="auto"/>
        </w:rPr>
        <w:t>С проекта на акт не се въвеждат норми на правото на Европейския съюз.</w:t>
      </w:r>
    </w:p>
    <w:p w14:paraId="7695D8C1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6DA9649D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b/>
          <w:color w:val="auto"/>
          <w:lang w:eastAsia="en-US" w:bidi="ar-SA"/>
        </w:rPr>
        <w:t>6. Срок за обществени консултации:</w:t>
      </w:r>
    </w:p>
    <w:p w14:paraId="256FA4FB" w14:textId="41946ABE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Съгласно разпоредбата на чл. 26, ал. 3 и 4 от Закона за нормативните актове проектът на инструкция и мотивите към нея ще бъдат публикувани на интернет страниците на Министерството на регионалното развитие и благоустройството и Агенцията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 геодезия, картография и кадастър</w:t>
      </w: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,  както и на Портала за обществени консултации за срок от 30 дни. </w:t>
      </w:r>
    </w:p>
    <w:p w14:paraId="471903C1" w14:textId="4D0DBA0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В съответствие с чл. 26, ал. 5 от Закона за нормативните актове, справката за постъпилите предложения заедно с обосновка за неприетите предложения, в резултат на проведената обществена консултация, ще бъде публикувана на интернет страниците на Министерството на регионалното развитие и благоустройството и Агенцията </w:t>
      </w:r>
      <w:r w:rsidRPr="00744029">
        <w:rPr>
          <w:rFonts w:ascii="Times New Roman" w:eastAsia="MS Mincho" w:hAnsi="Times New Roman" w:cs="Times New Roman"/>
          <w:color w:val="auto"/>
          <w:szCs w:val="20"/>
          <w:lang w:eastAsia="en-US" w:bidi="ar-SA"/>
        </w:rPr>
        <w:t>по геодезия, картография и кадастър</w:t>
      </w:r>
      <w:r w:rsidRPr="00744029">
        <w:rPr>
          <w:rFonts w:ascii="Times New Roman" w:eastAsia="MS Mincho" w:hAnsi="Times New Roman" w:cs="Times New Roman"/>
          <w:color w:val="auto"/>
          <w:lang w:eastAsia="en-US" w:bidi="ar-SA"/>
        </w:rPr>
        <w:t xml:space="preserve">, както и на Портала за обществени консултации. </w:t>
      </w:r>
    </w:p>
    <w:p w14:paraId="25B1E366" w14:textId="77777777" w:rsidR="00E31FB9" w:rsidRPr="00744029" w:rsidRDefault="00E31FB9" w:rsidP="00E31FB9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p w14:paraId="490B3E65" w14:textId="77777777" w:rsidR="007317C0" w:rsidRPr="00744029" w:rsidRDefault="007317C0" w:rsidP="00EF0E44">
      <w:pPr>
        <w:widowControl/>
        <w:spacing w:line="36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auto"/>
          <w:lang w:eastAsia="en-US" w:bidi="ar-SA"/>
        </w:rPr>
      </w:pPr>
    </w:p>
    <w:sectPr w:rsidR="007317C0" w:rsidRPr="00744029" w:rsidSect="00744029">
      <w:footerReference w:type="default" r:id="rId8"/>
      <w:pgSz w:w="11900" w:h="16840"/>
      <w:pgMar w:top="709" w:right="843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9B161" w14:textId="77777777" w:rsidR="0015039E" w:rsidRDefault="0015039E">
      <w:r>
        <w:separator/>
      </w:r>
    </w:p>
  </w:endnote>
  <w:endnote w:type="continuationSeparator" w:id="0">
    <w:p w14:paraId="645B066C" w14:textId="77777777" w:rsidR="0015039E" w:rsidRDefault="001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90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7E766AA" w14:textId="6C878A62" w:rsidR="00897178" w:rsidRPr="007932E6" w:rsidRDefault="00B1049D">
        <w:pPr>
          <w:pStyle w:val="Footer"/>
          <w:jc w:val="center"/>
          <w:rPr>
            <w:rFonts w:ascii="Times New Roman" w:hAnsi="Times New Roman" w:cs="Times New Roman"/>
          </w:rPr>
        </w:pPr>
        <w:r w:rsidRPr="007932E6">
          <w:rPr>
            <w:rFonts w:ascii="Times New Roman" w:hAnsi="Times New Roman" w:cs="Times New Roman"/>
          </w:rPr>
          <w:fldChar w:fldCharType="begin"/>
        </w:r>
        <w:r w:rsidRPr="007932E6">
          <w:rPr>
            <w:rFonts w:ascii="Times New Roman" w:hAnsi="Times New Roman" w:cs="Times New Roman"/>
          </w:rPr>
          <w:instrText xml:space="preserve"> PAGE   \* MERGEFORMAT </w:instrText>
        </w:r>
        <w:r w:rsidRPr="007932E6">
          <w:rPr>
            <w:rFonts w:ascii="Times New Roman" w:hAnsi="Times New Roman" w:cs="Times New Roman"/>
          </w:rPr>
          <w:fldChar w:fldCharType="separate"/>
        </w:r>
        <w:r w:rsidR="00363192">
          <w:rPr>
            <w:rFonts w:ascii="Times New Roman" w:hAnsi="Times New Roman" w:cs="Times New Roman"/>
            <w:noProof/>
          </w:rPr>
          <w:t>3</w:t>
        </w:r>
        <w:r w:rsidRPr="007932E6">
          <w:rPr>
            <w:rFonts w:ascii="Times New Roman" w:hAnsi="Times New Roman" w:cs="Times New Roman"/>
          </w:rPr>
          <w:fldChar w:fldCharType="end"/>
        </w:r>
      </w:p>
    </w:sdtContent>
  </w:sdt>
  <w:p w14:paraId="635A6FAE" w14:textId="77777777" w:rsidR="00A17690" w:rsidRDefault="00150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8736" w14:textId="77777777" w:rsidR="0015039E" w:rsidRDefault="0015039E">
      <w:r>
        <w:separator/>
      </w:r>
    </w:p>
  </w:footnote>
  <w:footnote w:type="continuationSeparator" w:id="0">
    <w:p w14:paraId="3AEE1B3E" w14:textId="77777777" w:rsidR="0015039E" w:rsidRDefault="0015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BF1"/>
    <w:multiLevelType w:val="hybridMultilevel"/>
    <w:tmpl w:val="1876B26A"/>
    <w:lvl w:ilvl="0" w:tplc="1DDE5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472DD3"/>
    <w:multiLevelType w:val="hybridMultilevel"/>
    <w:tmpl w:val="5FE2E350"/>
    <w:lvl w:ilvl="0" w:tplc="484AA018">
      <w:start w:val="5"/>
      <w:numFmt w:val="bullet"/>
      <w:lvlText w:val="-"/>
      <w:lvlJc w:val="left"/>
      <w:pPr>
        <w:ind w:left="1066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4CC15203"/>
    <w:multiLevelType w:val="hybridMultilevel"/>
    <w:tmpl w:val="0C0EB97E"/>
    <w:lvl w:ilvl="0" w:tplc="ECF048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86"/>
    <w:rsid w:val="00000100"/>
    <w:rsid w:val="00004030"/>
    <w:rsid w:val="00005C61"/>
    <w:rsid w:val="000224EA"/>
    <w:rsid w:val="0002393D"/>
    <w:rsid w:val="00031606"/>
    <w:rsid w:val="00032C92"/>
    <w:rsid w:val="000365C9"/>
    <w:rsid w:val="00036F07"/>
    <w:rsid w:val="00040492"/>
    <w:rsid w:val="000561D7"/>
    <w:rsid w:val="000569DA"/>
    <w:rsid w:val="000657FE"/>
    <w:rsid w:val="00066BE4"/>
    <w:rsid w:val="0007027A"/>
    <w:rsid w:val="00071142"/>
    <w:rsid w:val="0007786B"/>
    <w:rsid w:val="000903ED"/>
    <w:rsid w:val="00092198"/>
    <w:rsid w:val="00093C53"/>
    <w:rsid w:val="00095F68"/>
    <w:rsid w:val="000A3B85"/>
    <w:rsid w:val="000B15E7"/>
    <w:rsid w:val="000B55C9"/>
    <w:rsid w:val="000C0A98"/>
    <w:rsid w:val="000C3C85"/>
    <w:rsid w:val="000C4892"/>
    <w:rsid w:val="000C564C"/>
    <w:rsid w:val="000C6D7E"/>
    <w:rsid w:val="000C75FB"/>
    <w:rsid w:val="000D6023"/>
    <w:rsid w:val="000E124B"/>
    <w:rsid w:val="000E7BAA"/>
    <w:rsid w:val="000F678C"/>
    <w:rsid w:val="00107870"/>
    <w:rsid w:val="00112DF7"/>
    <w:rsid w:val="001133A8"/>
    <w:rsid w:val="0013162F"/>
    <w:rsid w:val="00132118"/>
    <w:rsid w:val="00142847"/>
    <w:rsid w:val="0015039E"/>
    <w:rsid w:val="00151335"/>
    <w:rsid w:val="001523E0"/>
    <w:rsid w:val="0016024F"/>
    <w:rsid w:val="00160F38"/>
    <w:rsid w:val="00162CF1"/>
    <w:rsid w:val="00164946"/>
    <w:rsid w:val="00165704"/>
    <w:rsid w:val="001662A9"/>
    <w:rsid w:val="00170B1A"/>
    <w:rsid w:val="001736B3"/>
    <w:rsid w:val="001929F2"/>
    <w:rsid w:val="00194879"/>
    <w:rsid w:val="001B6330"/>
    <w:rsid w:val="001B6E4C"/>
    <w:rsid w:val="001C746F"/>
    <w:rsid w:val="001D373D"/>
    <w:rsid w:val="001D6293"/>
    <w:rsid w:val="001E0911"/>
    <w:rsid w:val="001E6519"/>
    <w:rsid w:val="002127F6"/>
    <w:rsid w:val="002202D5"/>
    <w:rsid w:val="00225233"/>
    <w:rsid w:val="00226376"/>
    <w:rsid w:val="00230513"/>
    <w:rsid w:val="0023107C"/>
    <w:rsid w:val="002404C2"/>
    <w:rsid w:val="00243BB5"/>
    <w:rsid w:val="00244A7D"/>
    <w:rsid w:val="002469ED"/>
    <w:rsid w:val="00275782"/>
    <w:rsid w:val="00275E1D"/>
    <w:rsid w:val="00276A51"/>
    <w:rsid w:val="00295C10"/>
    <w:rsid w:val="002A3D54"/>
    <w:rsid w:val="002A3DC4"/>
    <w:rsid w:val="002B2720"/>
    <w:rsid w:val="002B748A"/>
    <w:rsid w:val="002C41A0"/>
    <w:rsid w:val="002C4597"/>
    <w:rsid w:val="002C5A70"/>
    <w:rsid w:val="002C75B8"/>
    <w:rsid w:val="002D0B16"/>
    <w:rsid w:val="002D463E"/>
    <w:rsid w:val="002E794F"/>
    <w:rsid w:val="002F3A5B"/>
    <w:rsid w:val="002F3F12"/>
    <w:rsid w:val="003267D7"/>
    <w:rsid w:val="0033729A"/>
    <w:rsid w:val="003424B9"/>
    <w:rsid w:val="0034620A"/>
    <w:rsid w:val="003529E3"/>
    <w:rsid w:val="00360F1B"/>
    <w:rsid w:val="00363192"/>
    <w:rsid w:val="00375B57"/>
    <w:rsid w:val="003803A5"/>
    <w:rsid w:val="0038069E"/>
    <w:rsid w:val="00380A81"/>
    <w:rsid w:val="003810C3"/>
    <w:rsid w:val="00384C94"/>
    <w:rsid w:val="00390989"/>
    <w:rsid w:val="00393E21"/>
    <w:rsid w:val="003A0E9A"/>
    <w:rsid w:val="003A3CDF"/>
    <w:rsid w:val="003A4BFA"/>
    <w:rsid w:val="003B2052"/>
    <w:rsid w:val="003C0466"/>
    <w:rsid w:val="003C1B68"/>
    <w:rsid w:val="003C7313"/>
    <w:rsid w:val="003D2BDA"/>
    <w:rsid w:val="003D6C6F"/>
    <w:rsid w:val="003E1916"/>
    <w:rsid w:val="003F08CE"/>
    <w:rsid w:val="003F191F"/>
    <w:rsid w:val="003F7734"/>
    <w:rsid w:val="00403494"/>
    <w:rsid w:val="004079A6"/>
    <w:rsid w:val="004102BB"/>
    <w:rsid w:val="00421D35"/>
    <w:rsid w:val="00422D8E"/>
    <w:rsid w:val="00423248"/>
    <w:rsid w:val="004240AA"/>
    <w:rsid w:val="004248A3"/>
    <w:rsid w:val="00425578"/>
    <w:rsid w:val="004257A5"/>
    <w:rsid w:val="00425A23"/>
    <w:rsid w:val="0042624D"/>
    <w:rsid w:val="00434099"/>
    <w:rsid w:val="00441E7B"/>
    <w:rsid w:val="004539A4"/>
    <w:rsid w:val="00457AAE"/>
    <w:rsid w:val="00465BD9"/>
    <w:rsid w:val="00466CE9"/>
    <w:rsid w:val="004721DF"/>
    <w:rsid w:val="00473BBC"/>
    <w:rsid w:val="004844AF"/>
    <w:rsid w:val="00491070"/>
    <w:rsid w:val="004920CF"/>
    <w:rsid w:val="0049674F"/>
    <w:rsid w:val="004969DD"/>
    <w:rsid w:val="004B1164"/>
    <w:rsid w:val="004B1871"/>
    <w:rsid w:val="004C4B2A"/>
    <w:rsid w:val="004D195E"/>
    <w:rsid w:val="004D71AA"/>
    <w:rsid w:val="004E266C"/>
    <w:rsid w:val="004E6AEA"/>
    <w:rsid w:val="004F130A"/>
    <w:rsid w:val="004F37A8"/>
    <w:rsid w:val="00502551"/>
    <w:rsid w:val="00511484"/>
    <w:rsid w:val="005127F6"/>
    <w:rsid w:val="005145D3"/>
    <w:rsid w:val="00516450"/>
    <w:rsid w:val="00517509"/>
    <w:rsid w:val="00524EAE"/>
    <w:rsid w:val="00527CB6"/>
    <w:rsid w:val="0054508B"/>
    <w:rsid w:val="0054712F"/>
    <w:rsid w:val="00547941"/>
    <w:rsid w:val="00553E1A"/>
    <w:rsid w:val="0055534D"/>
    <w:rsid w:val="00565508"/>
    <w:rsid w:val="005736C3"/>
    <w:rsid w:val="00573C87"/>
    <w:rsid w:val="0058343B"/>
    <w:rsid w:val="005875B4"/>
    <w:rsid w:val="00595A60"/>
    <w:rsid w:val="005A4981"/>
    <w:rsid w:val="005B3666"/>
    <w:rsid w:val="005B598F"/>
    <w:rsid w:val="005B5A01"/>
    <w:rsid w:val="005C24AC"/>
    <w:rsid w:val="005E2464"/>
    <w:rsid w:val="005F0981"/>
    <w:rsid w:val="005F0B9E"/>
    <w:rsid w:val="005F24E4"/>
    <w:rsid w:val="005F3D32"/>
    <w:rsid w:val="005F40AE"/>
    <w:rsid w:val="005F614C"/>
    <w:rsid w:val="005F7B9C"/>
    <w:rsid w:val="00600087"/>
    <w:rsid w:val="006000D8"/>
    <w:rsid w:val="0060442A"/>
    <w:rsid w:val="00611C09"/>
    <w:rsid w:val="00614B86"/>
    <w:rsid w:val="00620C6E"/>
    <w:rsid w:val="00630BD9"/>
    <w:rsid w:val="006313F2"/>
    <w:rsid w:val="006552B7"/>
    <w:rsid w:val="006567F4"/>
    <w:rsid w:val="0066291D"/>
    <w:rsid w:val="006706DB"/>
    <w:rsid w:val="006742AE"/>
    <w:rsid w:val="0068011B"/>
    <w:rsid w:val="00691EED"/>
    <w:rsid w:val="00696E95"/>
    <w:rsid w:val="006A4A6D"/>
    <w:rsid w:val="006B250C"/>
    <w:rsid w:val="006B49F4"/>
    <w:rsid w:val="006C2553"/>
    <w:rsid w:val="006C2E86"/>
    <w:rsid w:val="006C43B8"/>
    <w:rsid w:val="006D19EF"/>
    <w:rsid w:val="006E35DF"/>
    <w:rsid w:val="006E642D"/>
    <w:rsid w:val="006F0CAA"/>
    <w:rsid w:val="00700C0D"/>
    <w:rsid w:val="00704ED7"/>
    <w:rsid w:val="00714B72"/>
    <w:rsid w:val="007200AF"/>
    <w:rsid w:val="007317C0"/>
    <w:rsid w:val="007421B2"/>
    <w:rsid w:val="00744029"/>
    <w:rsid w:val="00746DE8"/>
    <w:rsid w:val="00755978"/>
    <w:rsid w:val="007631E3"/>
    <w:rsid w:val="00763A0F"/>
    <w:rsid w:val="007740B9"/>
    <w:rsid w:val="00784D7F"/>
    <w:rsid w:val="007912C8"/>
    <w:rsid w:val="00792425"/>
    <w:rsid w:val="00792D1C"/>
    <w:rsid w:val="007932E6"/>
    <w:rsid w:val="00793384"/>
    <w:rsid w:val="00794401"/>
    <w:rsid w:val="007A04AB"/>
    <w:rsid w:val="007A1189"/>
    <w:rsid w:val="007A33B5"/>
    <w:rsid w:val="007B1BB1"/>
    <w:rsid w:val="007B2616"/>
    <w:rsid w:val="007B2EDF"/>
    <w:rsid w:val="007B6AC7"/>
    <w:rsid w:val="007C0BB4"/>
    <w:rsid w:val="007C1E79"/>
    <w:rsid w:val="007D1672"/>
    <w:rsid w:val="007D2175"/>
    <w:rsid w:val="007E28AF"/>
    <w:rsid w:val="007E2CFE"/>
    <w:rsid w:val="007E315F"/>
    <w:rsid w:val="007E3F62"/>
    <w:rsid w:val="007E45B6"/>
    <w:rsid w:val="007E4AA1"/>
    <w:rsid w:val="007E55F3"/>
    <w:rsid w:val="007F2B76"/>
    <w:rsid w:val="007F2DCB"/>
    <w:rsid w:val="00805C62"/>
    <w:rsid w:val="00806D3B"/>
    <w:rsid w:val="008117E1"/>
    <w:rsid w:val="00820706"/>
    <w:rsid w:val="008279D5"/>
    <w:rsid w:val="00844815"/>
    <w:rsid w:val="008546EA"/>
    <w:rsid w:val="00856CB0"/>
    <w:rsid w:val="008607DA"/>
    <w:rsid w:val="00860DFB"/>
    <w:rsid w:val="008631A4"/>
    <w:rsid w:val="008719A3"/>
    <w:rsid w:val="00874B62"/>
    <w:rsid w:val="00887CFC"/>
    <w:rsid w:val="00894468"/>
    <w:rsid w:val="00897178"/>
    <w:rsid w:val="0089720A"/>
    <w:rsid w:val="008A4C9F"/>
    <w:rsid w:val="008B1237"/>
    <w:rsid w:val="008B1530"/>
    <w:rsid w:val="008B2938"/>
    <w:rsid w:val="008B4C20"/>
    <w:rsid w:val="008B676B"/>
    <w:rsid w:val="008B6D62"/>
    <w:rsid w:val="008C616A"/>
    <w:rsid w:val="008C6B1D"/>
    <w:rsid w:val="008D2C77"/>
    <w:rsid w:val="008D43BA"/>
    <w:rsid w:val="008D52AA"/>
    <w:rsid w:val="008D7957"/>
    <w:rsid w:val="008D7A41"/>
    <w:rsid w:val="008E1320"/>
    <w:rsid w:val="008E4129"/>
    <w:rsid w:val="008E6E96"/>
    <w:rsid w:val="008E7E5B"/>
    <w:rsid w:val="008F04B7"/>
    <w:rsid w:val="008F5C85"/>
    <w:rsid w:val="008F79D9"/>
    <w:rsid w:val="00901B29"/>
    <w:rsid w:val="00905D5F"/>
    <w:rsid w:val="00910793"/>
    <w:rsid w:val="00915B82"/>
    <w:rsid w:val="0093046F"/>
    <w:rsid w:val="0093471E"/>
    <w:rsid w:val="00934E6A"/>
    <w:rsid w:val="00934F49"/>
    <w:rsid w:val="00934FDE"/>
    <w:rsid w:val="0094166D"/>
    <w:rsid w:val="009425C9"/>
    <w:rsid w:val="00945720"/>
    <w:rsid w:val="009548B6"/>
    <w:rsid w:val="009615B9"/>
    <w:rsid w:val="00970E0B"/>
    <w:rsid w:val="009729EE"/>
    <w:rsid w:val="00982EEE"/>
    <w:rsid w:val="00983DC8"/>
    <w:rsid w:val="00984377"/>
    <w:rsid w:val="00987C32"/>
    <w:rsid w:val="00992A55"/>
    <w:rsid w:val="0099654A"/>
    <w:rsid w:val="009A76DF"/>
    <w:rsid w:val="009C0885"/>
    <w:rsid w:val="009C4955"/>
    <w:rsid w:val="009E2585"/>
    <w:rsid w:val="00A01734"/>
    <w:rsid w:val="00A03BEC"/>
    <w:rsid w:val="00A04E4A"/>
    <w:rsid w:val="00A10060"/>
    <w:rsid w:val="00A12813"/>
    <w:rsid w:val="00A17794"/>
    <w:rsid w:val="00A20FC5"/>
    <w:rsid w:val="00A226A0"/>
    <w:rsid w:val="00A2769F"/>
    <w:rsid w:val="00A337AA"/>
    <w:rsid w:val="00A35AE2"/>
    <w:rsid w:val="00A41E70"/>
    <w:rsid w:val="00A4225C"/>
    <w:rsid w:val="00A45424"/>
    <w:rsid w:val="00A462B2"/>
    <w:rsid w:val="00A524F7"/>
    <w:rsid w:val="00A52EDB"/>
    <w:rsid w:val="00A64101"/>
    <w:rsid w:val="00A67B4A"/>
    <w:rsid w:val="00A818BD"/>
    <w:rsid w:val="00A83CA9"/>
    <w:rsid w:val="00A87039"/>
    <w:rsid w:val="00A95DC2"/>
    <w:rsid w:val="00AA1EC2"/>
    <w:rsid w:val="00AA330A"/>
    <w:rsid w:val="00AA4576"/>
    <w:rsid w:val="00AA7A18"/>
    <w:rsid w:val="00AA7FF2"/>
    <w:rsid w:val="00AB567C"/>
    <w:rsid w:val="00AD0BC6"/>
    <w:rsid w:val="00AD0D2F"/>
    <w:rsid w:val="00AD7C52"/>
    <w:rsid w:val="00AE1347"/>
    <w:rsid w:val="00AE7630"/>
    <w:rsid w:val="00AE77F3"/>
    <w:rsid w:val="00AE7FBE"/>
    <w:rsid w:val="00AF0760"/>
    <w:rsid w:val="00B01184"/>
    <w:rsid w:val="00B014FA"/>
    <w:rsid w:val="00B04222"/>
    <w:rsid w:val="00B04713"/>
    <w:rsid w:val="00B1049D"/>
    <w:rsid w:val="00B127E7"/>
    <w:rsid w:val="00B156B0"/>
    <w:rsid w:val="00B1574C"/>
    <w:rsid w:val="00B16E7E"/>
    <w:rsid w:val="00B31965"/>
    <w:rsid w:val="00B35029"/>
    <w:rsid w:val="00B35976"/>
    <w:rsid w:val="00B3643D"/>
    <w:rsid w:val="00B4799E"/>
    <w:rsid w:val="00B51D04"/>
    <w:rsid w:val="00B5305D"/>
    <w:rsid w:val="00B6092D"/>
    <w:rsid w:val="00B60D82"/>
    <w:rsid w:val="00B61458"/>
    <w:rsid w:val="00B63FDC"/>
    <w:rsid w:val="00B64401"/>
    <w:rsid w:val="00B70ED5"/>
    <w:rsid w:val="00B914B1"/>
    <w:rsid w:val="00B91D3F"/>
    <w:rsid w:val="00BA31E3"/>
    <w:rsid w:val="00BA36E7"/>
    <w:rsid w:val="00BA4F16"/>
    <w:rsid w:val="00BB1B21"/>
    <w:rsid w:val="00BB34A1"/>
    <w:rsid w:val="00BC10D7"/>
    <w:rsid w:val="00BC2621"/>
    <w:rsid w:val="00BC61E0"/>
    <w:rsid w:val="00BD4C56"/>
    <w:rsid w:val="00BD6476"/>
    <w:rsid w:val="00BE2156"/>
    <w:rsid w:val="00BE6A3B"/>
    <w:rsid w:val="00BF108B"/>
    <w:rsid w:val="00BF50F7"/>
    <w:rsid w:val="00C01672"/>
    <w:rsid w:val="00C01A27"/>
    <w:rsid w:val="00C0305B"/>
    <w:rsid w:val="00C10558"/>
    <w:rsid w:val="00C15BFD"/>
    <w:rsid w:val="00C2069B"/>
    <w:rsid w:val="00C34E52"/>
    <w:rsid w:val="00C51099"/>
    <w:rsid w:val="00C52DFE"/>
    <w:rsid w:val="00C70673"/>
    <w:rsid w:val="00C71704"/>
    <w:rsid w:val="00C77549"/>
    <w:rsid w:val="00C912C2"/>
    <w:rsid w:val="00CA2971"/>
    <w:rsid w:val="00CA4C78"/>
    <w:rsid w:val="00CA7BC8"/>
    <w:rsid w:val="00CB7215"/>
    <w:rsid w:val="00CB789B"/>
    <w:rsid w:val="00CE2477"/>
    <w:rsid w:val="00CE3960"/>
    <w:rsid w:val="00CE4493"/>
    <w:rsid w:val="00CF3019"/>
    <w:rsid w:val="00D001D1"/>
    <w:rsid w:val="00D100DF"/>
    <w:rsid w:val="00D114CD"/>
    <w:rsid w:val="00D32E9C"/>
    <w:rsid w:val="00D4055D"/>
    <w:rsid w:val="00D57EFD"/>
    <w:rsid w:val="00D641CF"/>
    <w:rsid w:val="00D652C8"/>
    <w:rsid w:val="00D67419"/>
    <w:rsid w:val="00D70E06"/>
    <w:rsid w:val="00D72222"/>
    <w:rsid w:val="00D80552"/>
    <w:rsid w:val="00D81370"/>
    <w:rsid w:val="00D83E7A"/>
    <w:rsid w:val="00D8486A"/>
    <w:rsid w:val="00D86572"/>
    <w:rsid w:val="00D87F14"/>
    <w:rsid w:val="00D9091C"/>
    <w:rsid w:val="00D91642"/>
    <w:rsid w:val="00D9241C"/>
    <w:rsid w:val="00D95ABB"/>
    <w:rsid w:val="00DB1559"/>
    <w:rsid w:val="00DB64C7"/>
    <w:rsid w:val="00DB73EF"/>
    <w:rsid w:val="00DB7ED0"/>
    <w:rsid w:val="00DC54E7"/>
    <w:rsid w:val="00DD1185"/>
    <w:rsid w:val="00DD4F1D"/>
    <w:rsid w:val="00DE230A"/>
    <w:rsid w:val="00DF4F68"/>
    <w:rsid w:val="00E20965"/>
    <w:rsid w:val="00E22AD1"/>
    <w:rsid w:val="00E23576"/>
    <w:rsid w:val="00E30856"/>
    <w:rsid w:val="00E31FB9"/>
    <w:rsid w:val="00E33B55"/>
    <w:rsid w:val="00E401B3"/>
    <w:rsid w:val="00E52A13"/>
    <w:rsid w:val="00E5562F"/>
    <w:rsid w:val="00E56F08"/>
    <w:rsid w:val="00E57BDB"/>
    <w:rsid w:val="00E87CE8"/>
    <w:rsid w:val="00E97B8F"/>
    <w:rsid w:val="00EA0AE8"/>
    <w:rsid w:val="00EA1CFE"/>
    <w:rsid w:val="00EA2C42"/>
    <w:rsid w:val="00EC2EAE"/>
    <w:rsid w:val="00EC3C09"/>
    <w:rsid w:val="00EC59CE"/>
    <w:rsid w:val="00ED350B"/>
    <w:rsid w:val="00ED3DDB"/>
    <w:rsid w:val="00ED4C72"/>
    <w:rsid w:val="00ED7E6B"/>
    <w:rsid w:val="00EE0F29"/>
    <w:rsid w:val="00EE4016"/>
    <w:rsid w:val="00EE45CA"/>
    <w:rsid w:val="00EE584F"/>
    <w:rsid w:val="00EF0E44"/>
    <w:rsid w:val="00F03454"/>
    <w:rsid w:val="00F03A7D"/>
    <w:rsid w:val="00F12557"/>
    <w:rsid w:val="00F20910"/>
    <w:rsid w:val="00F241D4"/>
    <w:rsid w:val="00F24369"/>
    <w:rsid w:val="00F307CE"/>
    <w:rsid w:val="00F31172"/>
    <w:rsid w:val="00F33089"/>
    <w:rsid w:val="00F335C0"/>
    <w:rsid w:val="00F34F3A"/>
    <w:rsid w:val="00F356C2"/>
    <w:rsid w:val="00F468BE"/>
    <w:rsid w:val="00F561F0"/>
    <w:rsid w:val="00F61418"/>
    <w:rsid w:val="00F66A8A"/>
    <w:rsid w:val="00F70DD0"/>
    <w:rsid w:val="00F83081"/>
    <w:rsid w:val="00F85DA5"/>
    <w:rsid w:val="00F87060"/>
    <w:rsid w:val="00F9422D"/>
    <w:rsid w:val="00F95732"/>
    <w:rsid w:val="00FA5958"/>
    <w:rsid w:val="00FB01EE"/>
    <w:rsid w:val="00FB2EC8"/>
    <w:rsid w:val="00FC1815"/>
    <w:rsid w:val="00FD615D"/>
    <w:rsid w:val="00FE1C19"/>
    <w:rsid w:val="00FF30A8"/>
    <w:rsid w:val="00FF36CC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B4FA"/>
  <w15:docId w15:val="{5001643D-CF34-4EC8-BE30-00DF9E48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1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C10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Heading11">
    <w:name w:val="Heading #1"/>
    <w:basedOn w:val="Heading10"/>
    <w:rsid w:val="00BC1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single"/>
      <w:lang w:val="bg-BG" w:eastAsia="bg-BG" w:bidi="bg-BG"/>
    </w:rPr>
  </w:style>
  <w:style w:type="character" w:customStyle="1" w:styleId="Bodytext2Spacing1pt">
    <w:name w:val="Body text (2) + Spacing 1 pt"/>
    <w:basedOn w:val="Bodytext2"/>
    <w:rsid w:val="00BC10D7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BC10D7"/>
    <w:pPr>
      <w:shd w:val="clear" w:color="auto" w:fill="FFFFFF"/>
      <w:spacing w:before="360" w:line="40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rsid w:val="00502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2551"/>
    <w:pPr>
      <w:widowControl/>
    </w:pPr>
    <w:rPr>
      <w:rFonts w:ascii="Times New Roman" w:eastAsia="MS Mincho" w:hAnsi="Times New Roman" w:cs="Times New Roman"/>
      <w:color w:val="auto"/>
      <w:sz w:val="20"/>
      <w:szCs w:val="20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02551"/>
    <w:rPr>
      <w:rFonts w:ascii="Times New Roman" w:eastAsia="MS Mincho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51"/>
    <w:rPr>
      <w:rFonts w:ascii="Tahoma" w:eastAsia="Arial Unicode MS" w:hAnsi="Tahoma" w:cs="Tahoma"/>
      <w:color w:val="000000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8971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78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8971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78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60"/>
    <w:pPr>
      <w:widowControl w:val="0"/>
    </w:pPr>
    <w:rPr>
      <w:rFonts w:ascii="Arial Unicode MS" w:eastAsia="Arial Unicode MS" w:hAnsi="Arial Unicode MS" w:cs="Arial Unicode MS"/>
      <w:b/>
      <w:bCs/>
      <w:color w:val="000000"/>
      <w:lang w:val="bg-BG" w:eastAsia="bg-BG" w:bidi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60"/>
    <w:rPr>
      <w:rFonts w:ascii="Arial Unicode MS" w:eastAsia="Arial Unicode MS" w:hAnsi="Arial Unicode MS" w:cs="Arial Unicode MS"/>
      <w:b/>
      <w:bCs/>
      <w:color w:val="000000"/>
      <w:sz w:val="20"/>
      <w:szCs w:val="20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466C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2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DC2D-74D8-4797-B39C-D1786B24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8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Таранджийска</dc:creator>
  <cp:lastModifiedBy>Veronika Simeonova Yolovska</cp:lastModifiedBy>
  <cp:revision>222</cp:revision>
  <cp:lastPrinted>2017-05-15T13:31:00Z</cp:lastPrinted>
  <dcterms:created xsi:type="dcterms:W3CDTF">2021-07-09T10:48:00Z</dcterms:created>
  <dcterms:modified xsi:type="dcterms:W3CDTF">2025-06-03T07:01:00Z</dcterms:modified>
</cp:coreProperties>
</file>