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E54CEA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99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10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04.02.2014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102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.)</w:t>
      </w:r>
    </w:p>
    <w:p w:rsidR="00000000" w:rsidRDefault="00E54CEA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05.08.1998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54CEA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54CEA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републиканс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04.02.2014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вълноломи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кейове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хангари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диспечерски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метрополитени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метрополитени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транзитни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далекопроводи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kV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транзитни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газоизмерват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скривалища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барутно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кислород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компресорни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компресорни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рентгенови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иолетови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инфрачервени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радиовълни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сгуроотвали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деривационни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машиностроенето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машиностроенето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дренажи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дренажни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галерии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дрениращи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контрафорси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дамби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MW)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kV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газоизмервателните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долекуване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долекуване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MW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kV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трансфузионна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хематология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венерически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хоспис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диализен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тъканна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MW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атракционни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ботанически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ретранслатори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радиорелейни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нболнична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амбулатории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амбулатории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диагностични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амбулато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магазини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стрелбища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барутно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дрогерии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ансамблово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съответствиет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постоянството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09.02.2007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01.03.2015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09.02.2007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305/2011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89/106/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88/5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ISO/IEC 17025,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ISO/IEC 17021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ISO/IEC 17065,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WMS (web map services)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WMS (web map services)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WMS (web map services)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- 17,50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07.12.2004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07.12.2004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- 17,50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38 - 49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Геокартфонд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правоъгълни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триангул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- 7,00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правоъгълни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БГС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2005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- 7,00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ГНСС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- 1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ГММП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1:25 000,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(GIF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JPEG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еталонна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осреднени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1:5000 - 11,00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1:5000 - 16,00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1:10 000 - 25,00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геореферирани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GEOTIFF - UTM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- 15,00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- 20,00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(TIF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- 2,00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дециметър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JPEG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дециметър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(CAD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(CAD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- 0,60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20 - 24,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35, 37,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06.12.2005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АДМИНИСТРАЦИЯ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09.02.2007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35, 36, 37, 48, 49,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54CEA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54CE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54CEA" w:rsidRDefault="00E54CE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sectPr w:rsidR="00E54CEA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2E"/>
    <w:rsid w:val="00E54CEA"/>
    <w:rsid w:val="00F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48F42-3F9A-403B-A248-C08BB1F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11973</Words>
  <Characters>68249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Куцарова</dc:creator>
  <cp:keywords/>
  <dc:description/>
  <cp:lastModifiedBy>Галина Куцарова</cp:lastModifiedBy>
  <cp:revision>2</cp:revision>
  <dcterms:created xsi:type="dcterms:W3CDTF">2021-01-08T08:28:00Z</dcterms:created>
  <dcterms:modified xsi:type="dcterms:W3CDTF">2021-01-08T08:28:00Z</dcterms:modified>
</cp:coreProperties>
</file>