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A833C6E" w14:textId="7281846B" w:rsidR="00813B35" w:rsidRDefault="00813B35" w:rsidP="00813B35">
      <w:pPr>
        <w:spacing w:after="0" w:line="360" w:lineRule="auto"/>
        <w:ind w:left="7080" w:firstLine="708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E47E6">
        <w:rPr>
          <w:rFonts w:ascii="Times New Roman" w:hAnsi="Times New Roman"/>
          <w:b/>
          <w:sz w:val="24"/>
          <w:szCs w:val="24"/>
        </w:rPr>
        <w:t xml:space="preserve">Образец № </w:t>
      </w:r>
      <w:r>
        <w:rPr>
          <w:rFonts w:ascii="Times New Roman" w:hAnsi="Times New Roman"/>
          <w:b/>
          <w:sz w:val="24"/>
          <w:szCs w:val="24"/>
        </w:rPr>
        <w:t>4.1</w:t>
      </w:r>
    </w:p>
    <w:p w14:paraId="328E6381" w14:textId="405FAE25" w:rsidR="00F0628E" w:rsidRDefault="00F0628E" w:rsidP="00F0628E">
      <w:pPr>
        <w:spacing w:after="0" w:line="36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За Обособена позиция № 1</w:t>
      </w:r>
    </w:p>
    <w:p w14:paraId="6C4A1E83" w14:textId="77777777" w:rsidR="00813B35" w:rsidRPr="002E47E6" w:rsidRDefault="00813B35" w:rsidP="00813B3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29CCA69" w14:textId="77777777" w:rsidR="00233DE2" w:rsidRDefault="00233DE2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77777777" w:rsidR="00233DE2" w:rsidRDefault="00233DE2" w:rsidP="00CF2B0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pacing w:val="2"/>
          <w:sz w:val="24"/>
          <w:szCs w:val="24"/>
        </w:rPr>
      </w:pPr>
      <w:r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CF2B0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35B79CC8" w14:textId="77777777" w:rsidR="00813B35" w:rsidRPr="00F44E0A" w:rsidRDefault="00813B35" w:rsidP="00CF2B0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От </w:t>
      </w:r>
      <w:r>
        <w:rPr>
          <w:rFonts w:ascii="Times New Roman" w:hAnsi="Times New Roman"/>
          <w:bCs/>
          <w:sz w:val="24"/>
          <w:szCs w:val="24"/>
          <w:lang w:val="en-US"/>
        </w:rPr>
        <w:t>…………………………………………………………………………………………….</w:t>
      </w:r>
    </w:p>
    <w:p w14:paraId="27D8DC4F" w14:textId="77777777" w:rsidR="00233DE2" w:rsidRPr="00A11601" w:rsidRDefault="00813B35" w:rsidP="00CF2B07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26D6A">
        <w:rPr>
          <w:rFonts w:ascii="Times New Roman" w:hAnsi="Times New Roman"/>
          <w:bCs/>
          <w:i/>
          <w:color w:val="000000"/>
          <w:sz w:val="24"/>
          <w:szCs w:val="24"/>
          <w:lang w:val="en-US" w:eastAsia="bg-BG"/>
        </w:rPr>
        <w:t>(</w:t>
      </w:r>
      <w:r w:rsidR="00233DE2" w:rsidRPr="00A11601">
        <w:rPr>
          <w:rFonts w:ascii="Times New Roman" w:hAnsi="Times New Roman"/>
          <w:i/>
          <w:sz w:val="24"/>
          <w:szCs w:val="24"/>
        </w:rPr>
        <w:t>(посочва се наименованието на участника, ЕИК, представляващо лице и данни за кореспонденция – адрес, телефон, факс, електронна поща; в случай на обединение следва да се посочат наименованието на обединението, представляващия</w:t>
      </w:r>
      <w:r w:rsidR="00233DE2">
        <w:rPr>
          <w:rFonts w:ascii="Times New Roman" w:hAnsi="Times New Roman"/>
          <w:i/>
          <w:sz w:val="24"/>
          <w:szCs w:val="24"/>
        </w:rPr>
        <w:t>т</w:t>
      </w:r>
      <w:r w:rsidR="00233DE2" w:rsidRPr="00A11601">
        <w:rPr>
          <w:rFonts w:ascii="Times New Roman" w:hAnsi="Times New Roman"/>
          <w:i/>
          <w:sz w:val="24"/>
          <w:szCs w:val="24"/>
        </w:rPr>
        <w:t xml:space="preserve"> обединението и неговите членове)</w:t>
      </w: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1F192E63" w14:textId="70454AFE" w:rsidR="00813B35" w:rsidRPr="00F44E0A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24155E50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0BAE2CFB" w14:textId="195FFDEA" w:rsidR="00813B35" w:rsidRPr="004077FD" w:rsidRDefault="00813B35" w:rsidP="00813B3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iCs/>
          <w:color w:val="000000"/>
          <w:sz w:val="24"/>
          <w:szCs w:val="24"/>
          <w:lang w:eastAsia="bg-BG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Pr="00734103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Pr="00F44E0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734103">
        <w:rPr>
          <w:rFonts w:ascii="Times New Roman" w:hAnsi="Times New Roman"/>
          <w:b/>
          <w:color w:val="000000"/>
          <w:sz w:val="24"/>
          <w:szCs w:val="24"/>
          <w:lang w:eastAsia="bg-BG"/>
        </w:rPr>
        <w:t>з</w:t>
      </w:r>
      <w:r w:rsidRPr="00734103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а</w:t>
      </w:r>
      <w:r w:rsidRPr="00F44E0A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bg-BG"/>
        </w:rPr>
        <w:t xml:space="preserve"> </w:t>
      </w:r>
      <w:r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val="en-US" w:eastAsia="bg-BG"/>
        </w:rPr>
        <w:t>O</w:t>
      </w:r>
      <w:r w:rsidRPr="004077FD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бособена позиция</w:t>
      </w:r>
      <w:r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Pr="00B85025">
        <w:rPr>
          <w:rFonts w:ascii="Times New Roman" w:hAnsi="Times New Roman"/>
          <w:b/>
          <w:bCs/>
          <w:iCs/>
          <w:color w:val="000000"/>
          <w:sz w:val="24"/>
          <w:szCs w:val="24"/>
          <w:lang w:eastAsia="bg-BG"/>
        </w:rPr>
        <w:t>№</w:t>
      </w:r>
      <w:r w:rsidR="004077FD" w:rsidRPr="004077FD">
        <w:rPr>
          <w:rFonts w:ascii="Times New Roman" w:hAnsi="Times New Roman"/>
          <w:bCs/>
          <w:iCs/>
          <w:color w:val="000000"/>
          <w:sz w:val="24"/>
          <w:szCs w:val="24"/>
          <w:lang w:eastAsia="bg-BG"/>
        </w:rPr>
        <w:t xml:space="preserve"> </w:t>
      </w:r>
      <w:r w:rsidR="004077FD" w:rsidRPr="004077FD">
        <w:rPr>
          <w:rFonts w:ascii="Times New Roman" w:hAnsi="Times New Roman"/>
          <w:b/>
          <w:sz w:val="24"/>
          <w:szCs w:val="24"/>
          <w:lang w:eastAsia="bg-BG"/>
        </w:rPr>
        <w:t>1</w:t>
      </w:r>
      <w:r w:rsidR="004077FD" w:rsidRPr="004077FD">
        <w:rPr>
          <w:rFonts w:ascii="Times New Roman" w:hAnsi="Times New Roman"/>
          <w:sz w:val="24"/>
          <w:szCs w:val="24"/>
          <w:lang w:eastAsia="bg-BG"/>
        </w:rPr>
        <w:t xml:space="preserve"> 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Pr="004077FD">
        <w:rPr>
          <w:rFonts w:ascii="Times New Roman" w:hAnsi="Times New Roman"/>
          <w:iCs/>
          <w:color w:val="000000"/>
          <w:sz w:val="24"/>
          <w:szCs w:val="24"/>
          <w:lang w:eastAsia="bg-BG"/>
        </w:rPr>
        <w:t xml:space="preserve"> </w:t>
      </w:r>
    </w:p>
    <w:p w14:paraId="7BBC7A28" w14:textId="77777777" w:rsidR="00813B35" w:rsidRDefault="00813B35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17E7EF0A" w14:textId="79F95C4A" w:rsidR="00233DE2" w:rsidRDefault="00233DE2" w:rsidP="00233DE2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>
        <w:rPr>
          <w:rFonts w:ascii="Times New Roman" w:hAnsi="Times New Roman"/>
          <w:sz w:val="24"/>
          <w:szCs w:val="24"/>
        </w:rPr>
        <w:t>т</w:t>
      </w:r>
      <w:r w:rsidRPr="00A11601">
        <w:rPr>
          <w:rFonts w:ascii="Times New Roman" w:hAnsi="Times New Roman"/>
          <w:sz w:val="24"/>
          <w:szCs w:val="24"/>
        </w:rPr>
        <w:t>ехническата спецификация и приложенията към нея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A11601">
        <w:rPr>
          <w:rFonts w:ascii="Times New Roman" w:hAnsi="Times New Roman"/>
          <w:sz w:val="24"/>
          <w:szCs w:val="24"/>
        </w:rPr>
        <w:t xml:space="preserve"> съобразно всички относими </w:t>
      </w:r>
      <w:r w:rsidRPr="00A11601">
        <w:rPr>
          <w:rFonts w:ascii="Times New Roman" w:hAnsi="Times New Roman"/>
          <w:sz w:val="24"/>
          <w:szCs w:val="24"/>
        </w:rPr>
        <w:lastRenderedPageBreak/>
        <w:t xml:space="preserve">изисквания, произтичащи от действащата нормативна уредба.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789F7211" w14:textId="77777777" w:rsidR="00233DE2" w:rsidRDefault="00233DE2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14:paraId="549D2488" w14:textId="77777777" w:rsidR="00813B35" w:rsidRPr="005F5A8E" w:rsidRDefault="00813B35" w:rsidP="00233DE2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411C0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Pr="005F5A8E">
        <w:rPr>
          <w:rFonts w:ascii="Times New Roman" w:eastAsia="Times New Roman" w:hAnsi="Times New Roman"/>
          <w:b/>
          <w:sz w:val="24"/>
          <w:szCs w:val="24"/>
          <w:lang w:eastAsia="ar-SA"/>
        </w:rPr>
        <w:t>. Срок за изпълнение на обществената поръчка по договора.</w:t>
      </w:r>
    </w:p>
    <w:p w14:paraId="2B8F6760" w14:textId="7E4D7201" w:rsidR="00813B35" w:rsidRPr="00E14A58" w:rsidRDefault="00233DE2" w:rsidP="00233DE2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077FD">
        <w:rPr>
          <w:rFonts w:ascii="Times New Roman" w:hAnsi="Times New Roman"/>
          <w:sz w:val="24"/>
          <w:szCs w:val="24"/>
        </w:rPr>
        <w:t>С</w:t>
      </w:r>
      <w:r w:rsidR="00813B35" w:rsidRPr="00E14A58">
        <w:rPr>
          <w:rFonts w:ascii="Times New Roman" w:hAnsi="Times New Roman"/>
          <w:sz w:val="24"/>
          <w:szCs w:val="24"/>
        </w:rPr>
        <w:t xml:space="preserve">рок за изпълнение на </w:t>
      </w:r>
      <w:r w:rsidR="00813B35">
        <w:rPr>
          <w:rFonts w:ascii="Times New Roman" w:hAnsi="Times New Roman"/>
          <w:sz w:val="24"/>
          <w:szCs w:val="24"/>
        </w:rPr>
        <w:t>Обособена позиция № 1</w:t>
      </w:r>
      <w:r w:rsidR="00813B35" w:rsidRPr="00E14A58">
        <w:rPr>
          <w:rFonts w:ascii="Times New Roman" w:hAnsi="Times New Roman"/>
          <w:sz w:val="24"/>
          <w:szCs w:val="24"/>
        </w:rPr>
        <w:t xml:space="preserve"> и договора:</w:t>
      </w:r>
    </w:p>
    <w:p w14:paraId="3A8A257C" w14:textId="5B822625" w:rsidR="008830B3" w:rsidRPr="00361E98" w:rsidRDefault="00813B35" w:rsidP="00A9777C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233DE2">
        <w:rPr>
          <w:rFonts w:ascii="Times New Roman" w:hAnsi="Times New Roman"/>
          <w:b/>
          <w:sz w:val="24"/>
          <w:szCs w:val="24"/>
          <w:lang w:eastAsia="ar-SA"/>
        </w:rPr>
        <w:t>...................................</w:t>
      </w:r>
      <w:r w:rsidR="00233DE2" w:rsidRPr="00233DE2">
        <w:rPr>
          <w:rFonts w:ascii="Times New Roman" w:hAnsi="Times New Roman"/>
          <w:b/>
          <w:sz w:val="24"/>
          <w:szCs w:val="24"/>
          <w:lang w:eastAsia="ar-SA"/>
        </w:rPr>
        <w:t xml:space="preserve"> (</w:t>
      </w:r>
      <w:r w:rsidRPr="00233DE2">
        <w:rPr>
          <w:rFonts w:ascii="Times New Roman" w:hAnsi="Times New Roman"/>
          <w:b/>
          <w:sz w:val="24"/>
          <w:szCs w:val="24"/>
          <w:lang w:eastAsia="ar-SA"/>
        </w:rPr>
        <w:t>.......................................</w:t>
      </w:r>
      <w:r w:rsidR="00233DE2" w:rsidRPr="00233DE2">
        <w:rPr>
          <w:rFonts w:ascii="Times New Roman" w:hAnsi="Times New Roman"/>
          <w:b/>
          <w:sz w:val="24"/>
          <w:szCs w:val="24"/>
          <w:lang w:eastAsia="ar-SA"/>
        </w:rPr>
        <w:t>) месеца</w:t>
      </w:r>
      <w:r w:rsidR="008830B3" w:rsidRPr="00361E98">
        <w:rPr>
          <w:rFonts w:ascii="Times New Roman" w:hAnsi="Times New Roman"/>
          <w:sz w:val="24"/>
          <w:szCs w:val="24"/>
        </w:rPr>
        <w:t>.</w:t>
      </w:r>
      <w:r w:rsidR="008830B3" w:rsidRPr="00361E98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2942A3D6" w14:textId="5D843E21" w:rsidR="008830B3" w:rsidRDefault="008830B3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830B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Забележка:</w:t>
      </w:r>
      <w:r w:rsidRPr="008830B3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П</w:t>
      </w:r>
      <w:r w:rsidRPr="008830B3">
        <w:rPr>
          <w:rFonts w:ascii="Times New Roman" w:hAnsi="Times New Roman"/>
          <w:sz w:val="24"/>
          <w:szCs w:val="24"/>
        </w:rPr>
        <w:t>осочва</w:t>
      </w:r>
      <w:r>
        <w:rPr>
          <w:rFonts w:ascii="Times New Roman" w:hAnsi="Times New Roman"/>
          <w:sz w:val="24"/>
          <w:szCs w:val="24"/>
        </w:rPr>
        <w:t xml:space="preserve"> се</w:t>
      </w:r>
      <w:r w:rsidRPr="008830B3">
        <w:rPr>
          <w:rFonts w:ascii="Times New Roman" w:hAnsi="Times New Roman"/>
          <w:sz w:val="24"/>
          <w:szCs w:val="24"/>
        </w:rPr>
        <w:t xml:space="preserve"> цяло число</w:t>
      </w:r>
      <w:r w:rsidRPr="008830B3">
        <w:rPr>
          <w:rFonts w:ascii="Times New Roman" w:hAnsi="Times New Roman"/>
          <w:color w:val="000000"/>
          <w:sz w:val="24"/>
          <w:szCs w:val="24"/>
          <w:lang w:eastAsia="bg-BG"/>
        </w:rPr>
        <w:t>. Предложен срок за изпълнение, по-</w:t>
      </w:r>
      <w:r w:rsidR="00FF57FC">
        <w:rPr>
          <w:rFonts w:ascii="Times New Roman" w:hAnsi="Times New Roman"/>
          <w:color w:val="000000"/>
          <w:sz w:val="24"/>
          <w:szCs w:val="24"/>
          <w:lang w:eastAsia="bg-BG"/>
        </w:rPr>
        <w:t>дълъг от</w:t>
      </w:r>
      <w:r w:rsidR="00D87712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="001C6311">
        <w:rPr>
          <w:rFonts w:ascii="Times New Roman" w:hAnsi="Times New Roman"/>
          <w:color w:val="000000"/>
          <w:sz w:val="24"/>
          <w:szCs w:val="24"/>
          <w:lang w:val="en-US" w:eastAsia="bg-BG"/>
        </w:rPr>
        <w:t>24 (</w:t>
      </w:r>
      <w:r w:rsidR="001C6311">
        <w:rPr>
          <w:rFonts w:ascii="Times New Roman" w:hAnsi="Times New Roman"/>
          <w:color w:val="000000"/>
          <w:sz w:val="24"/>
          <w:szCs w:val="24"/>
          <w:lang w:eastAsia="bg-BG"/>
        </w:rPr>
        <w:t>двадесет и четири)</w:t>
      </w:r>
      <w:r w:rsidR="00D87712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месеца</w:t>
      </w:r>
      <w:r w:rsidRPr="008830B3">
        <w:rPr>
          <w:rFonts w:ascii="Times New Roman" w:hAnsi="Times New Roman"/>
          <w:color w:val="000000"/>
          <w:sz w:val="24"/>
          <w:szCs w:val="24"/>
          <w:lang w:eastAsia="bg-BG"/>
        </w:rPr>
        <w:t>, ще води до отстраняване от участие в процедурата.</w:t>
      </w:r>
    </w:p>
    <w:p w14:paraId="1D0AB4E1" w14:textId="359A7671" w:rsidR="00227BC2" w:rsidRPr="00227BC2" w:rsidRDefault="00227BC2" w:rsidP="002C2C08">
      <w:pPr>
        <w:spacing w:after="0" w:line="360" w:lineRule="auto"/>
        <w:rPr>
          <w:rFonts w:ascii="Times New Roman" w:hAnsi="Times New Roman"/>
          <w:bCs/>
          <w:iCs/>
          <w:sz w:val="24"/>
          <w:szCs w:val="24"/>
          <w:lang w:eastAsia="bg-BG"/>
        </w:rPr>
      </w:pPr>
    </w:p>
    <w:p w14:paraId="14B722DD" w14:textId="77777777" w:rsidR="009A0C15" w:rsidRDefault="009A0C15" w:rsidP="009A0C15">
      <w:pPr>
        <w:spacing w:after="0" w:line="240" w:lineRule="auto"/>
        <w:jc w:val="right"/>
        <w:rPr>
          <w:rFonts w:ascii="Times New Roman" w:hAnsi="Times New Roman"/>
          <w:b/>
          <w:bCs/>
          <w:iCs/>
          <w:sz w:val="24"/>
          <w:szCs w:val="24"/>
          <w:lang w:eastAsia="bg-BG"/>
        </w:rPr>
      </w:pPr>
    </w:p>
    <w:p w14:paraId="7C1B821A" w14:textId="2BB4F36C" w:rsidR="00233DE2" w:rsidRDefault="00233DE2" w:rsidP="00233DE2">
      <w:pPr>
        <w:pStyle w:val="ListParagraph"/>
        <w:suppressAutoHyphens/>
        <w:spacing w:after="0" w:line="360" w:lineRule="auto"/>
        <w:ind w:left="0" w:firstLine="709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2. </w:t>
      </w:r>
      <w:r>
        <w:rPr>
          <w:rFonts w:ascii="Times New Roman" w:hAnsi="Times New Roman"/>
          <w:sz w:val="24"/>
          <w:szCs w:val="24"/>
        </w:rPr>
        <w:t>С</w:t>
      </w:r>
      <w:r w:rsidRPr="00E14A58">
        <w:rPr>
          <w:rFonts w:ascii="Times New Roman" w:hAnsi="Times New Roman"/>
          <w:sz w:val="24"/>
          <w:szCs w:val="24"/>
        </w:rPr>
        <w:t>рок</w:t>
      </w:r>
      <w:r>
        <w:rPr>
          <w:rFonts w:ascii="Times New Roman" w:hAnsi="Times New Roman"/>
          <w:sz w:val="24"/>
          <w:szCs w:val="24"/>
        </w:rPr>
        <w:t xml:space="preserve"> за </w:t>
      </w:r>
      <w:r w:rsidRPr="00233DE2">
        <w:rPr>
          <w:rFonts w:ascii="Times New Roman" w:hAnsi="Times New Roman"/>
          <w:sz w:val="24"/>
          <w:szCs w:val="24"/>
          <w:lang w:eastAsia="ar-SA"/>
        </w:rPr>
        <w:t>гаранционна поддръжка</w:t>
      </w:r>
      <w:r>
        <w:rPr>
          <w:rFonts w:ascii="Times New Roman" w:hAnsi="Times New Roman"/>
          <w:sz w:val="24"/>
          <w:szCs w:val="24"/>
          <w:lang w:eastAsia="ar-SA"/>
        </w:rPr>
        <w:t>:</w:t>
      </w:r>
    </w:p>
    <w:p w14:paraId="22F3F078" w14:textId="6536B1BC" w:rsidR="00233DE2" w:rsidRPr="00233DE2" w:rsidRDefault="00233DE2" w:rsidP="00233DE2">
      <w:pPr>
        <w:suppressAutoHyphens/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lang w:eastAsia="ar-SA"/>
        </w:rPr>
      </w:pPr>
      <w:r w:rsidRPr="00233DE2">
        <w:rPr>
          <w:rFonts w:ascii="Times New Roman" w:hAnsi="Times New Roman"/>
          <w:b/>
          <w:sz w:val="24"/>
          <w:szCs w:val="24"/>
          <w:lang w:eastAsia="ar-SA"/>
        </w:rPr>
        <w:t xml:space="preserve">................................... (.......................................) месеца </w:t>
      </w:r>
    </w:p>
    <w:p w14:paraId="6AB2C72F" w14:textId="13934A95" w:rsidR="00B31DD1" w:rsidRPr="00117D2A" w:rsidRDefault="008830B3" w:rsidP="00117D2A">
      <w:pPr>
        <w:suppressAutoHyphens/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830B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Забележка:</w:t>
      </w:r>
      <w:r w:rsidRPr="008830B3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П</w:t>
      </w:r>
      <w:r w:rsidRPr="008830B3">
        <w:rPr>
          <w:rFonts w:ascii="Times New Roman" w:hAnsi="Times New Roman"/>
          <w:sz w:val="24"/>
          <w:szCs w:val="24"/>
        </w:rPr>
        <w:t>осочва</w:t>
      </w:r>
      <w:r>
        <w:rPr>
          <w:rFonts w:ascii="Times New Roman" w:hAnsi="Times New Roman"/>
          <w:sz w:val="24"/>
          <w:szCs w:val="24"/>
        </w:rPr>
        <w:t xml:space="preserve"> се</w:t>
      </w:r>
      <w:r w:rsidRPr="008830B3">
        <w:rPr>
          <w:rFonts w:ascii="Times New Roman" w:hAnsi="Times New Roman"/>
          <w:sz w:val="24"/>
          <w:szCs w:val="24"/>
        </w:rPr>
        <w:t xml:space="preserve"> цяло число</w:t>
      </w:r>
      <w:r w:rsidRPr="008830B3"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  <w:r w:rsidR="00117D2A">
        <w:rPr>
          <w:rFonts w:ascii="Times New Roman" w:hAnsi="Times New Roman"/>
          <w:color w:val="000000"/>
          <w:sz w:val="24"/>
          <w:szCs w:val="24"/>
          <w:lang w:val="en-US" w:eastAsia="bg-BG"/>
        </w:rPr>
        <w:t xml:space="preserve"> </w:t>
      </w:r>
      <w:r w:rsidR="00117D2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Предложеният срок следва да е </w:t>
      </w:r>
      <w:r w:rsidR="00117D2A">
        <w:rPr>
          <w:rFonts w:ascii="Times New Roman" w:hAnsi="Times New Roman"/>
          <w:sz w:val="24"/>
          <w:szCs w:val="24"/>
        </w:rPr>
        <w:t xml:space="preserve">минимум </w:t>
      </w:r>
      <w:r w:rsidR="00117D2A" w:rsidRPr="00CF572A">
        <w:rPr>
          <w:rFonts w:ascii="Times New Roman" w:hAnsi="Times New Roman"/>
          <w:sz w:val="24"/>
          <w:szCs w:val="24"/>
        </w:rPr>
        <w:t xml:space="preserve">24 (двадесет и четири) месеца </w:t>
      </w:r>
      <w:r w:rsidR="00117D2A">
        <w:rPr>
          <w:rFonts w:ascii="Times New Roman" w:hAnsi="Times New Roman"/>
          <w:sz w:val="24"/>
          <w:szCs w:val="24"/>
        </w:rPr>
        <w:t xml:space="preserve">считано </w:t>
      </w:r>
      <w:r w:rsidR="00117D2A" w:rsidRPr="00CF572A">
        <w:rPr>
          <w:rFonts w:ascii="Times New Roman" w:hAnsi="Times New Roman"/>
          <w:sz w:val="24"/>
          <w:szCs w:val="24"/>
        </w:rPr>
        <w:t>от датата на</w:t>
      </w:r>
      <w:r w:rsidR="00117D2A">
        <w:rPr>
          <w:rFonts w:ascii="Times New Roman" w:hAnsi="Times New Roman"/>
          <w:sz w:val="24"/>
          <w:szCs w:val="24"/>
        </w:rPr>
        <w:t xml:space="preserve"> </w:t>
      </w:r>
      <w:r w:rsidR="00117D2A" w:rsidRPr="00F44E0A">
        <w:rPr>
          <w:rFonts w:ascii="Times New Roman" w:hAnsi="Times New Roman"/>
          <w:sz w:val="24"/>
          <w:szCs w:val="24"/>
        </w:rPr>
        <w:t>приемане изпълнението на поръчката в пълният й обем</w:t>
      </w:r>
      <w:r w:rsidR="00117D2A" w:rsidRPr="00CF572A">
        <w:rPr>
          <w:rFonts w:ascii="Times New Roman" w:hAnsi="Times New Roman"/>
          <w:sz w:val="24"/>
          <w:szCs w:val="24"/>
        </w:rPr>
        <w:t>.</w:t>
      </w:r>
    </w:p>
    <w:p w14:paraId="5C10006F" w14:textId="77777777" w:rsidR="008830B3" w:rsidRPr="00791D9E" w:rsidRDefault="008830B3" w:rsidP="00117D2A">
      <w:pPr>
        <w:suppressAutoHyphens/>
        <w:spacing w:after="0" w:line="360" w:lineRule="auto"/>
        <w:ind w:firstLine="709"/>
        <w:rPr>
          <w:rFonts w:ascii="Times New Roman" w:hAnsi="Times New Roman"/>
          <w:i/>
          <w:sz w:val="24"/>
          <w:szCs w:val="24"/>
          <w:lang w:eastAsia="ar-SA"/>
        </w:rPr>
      </w:pPr>
    </w:p>
    <w:p w14:paraId="672D852C" w14:textId="585AC85E" w:rsidR="00050F48" w:rsidRPr="00050F48" w:rsidRDefault="00813B35" w:rsidP="00117D2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II. </w:t>
      </w:r>
      <w:r w:rsidR="00050F48" w:rsidRPr="00A11601">
        <w:rPr>
          <w:rFonts w:ascii="Times New Roman" w:hAnsi="Times New Roman"/>
          <w:sz w:val="24"/>
          <w:szCs w:val="24"/>
        </w:rPr>
        <w:t xml:space="preserve">Като неразделна част от настоящото предложение, представяме </w:t>
      </w:r>
      <w:r w:rsidR="00050F48">
        <w:rPr>
          <w:rFonts w:ascii="Times New Roman" w:hAnsi="Times New Roman"/>
          <w:b/>
          <w:sz w:val="24"/>
          <w:szCs w:val="24"/>
        </w:rPr>
        <w:t xml:space="preserve">Описание на изпълнението на обществената поръчка </w:t>
      </w:r>
      <w:r w:rsidR="00050F48" w:rsidRPr="00050F48">
        <w:rPr>
          <w:rFonts w:ascii="Times New Roman" w:hAnsi="Times New Roman"/>
          <w:sz w:val="24"/>
          <w:szCs w:val="24"/>
        </w:rPr>
        <w:t>(представя се разработка, съгласно Техническата спецификация)</w:t>
      </w:r>
      <w:r w:rsidR="00050F48">
        <w:rPr>
          <w:rFonts w:ascii="Times New Roman" w:hAnsi="Times New Roman"/>
          <w:sz w:val="24"/>
          <w:szCs w:val="24"/>
        </w:rPr>
        <w:t>.</w:t>
      </w:r>
    </w:p>
    <w:p w14:paraId="54B8F6B0" w14:textId="77777777" w:rsidR="00050F48" w:rsidRDefault="00050F48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EE53EF3" w14:textId="2DC5A0C1" w:rsidR="00813B35" w:rsidRPr="00E14A58" w:rsidRDefault="00050F48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 xml:space="preserve">III. </w:t>
      </w:r>
      <w:r w:rsidR="00813B35"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Организация и изпълнение на дейности:</w:t>
      </w:r>
    </w:p>
    <w:p w14:paraId="5BACBE34" w14:textId="11B4E774" w:rsidR="00813B35" w:rsidRPr="00050F48" w:rsidRDefault="00050F48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813B35"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ІІ.1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>. Изпълнението на обществената поръчка ще извършим в съответствие с посочения по-горе срок.</w:t>
      </w:r>
    </w:p>
    <w:p w14:paraId="0D09A723" w14:textId="642010B9" w:rsidR="00813B35" w:rsidRPr="00050F48" w:rsidRDefault="00050F48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813B35"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ІІ.2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 Обществената поръчка ще изпълним със състав от експерти, с необходимата квалификация и професионален опит, поименно изброени в списъка, представен </w:t>
      </w:r>
      <w:r w:rsidR="00B8502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към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настоящото предложение. </w:t>
      </w:r>
    </w:p>
    <w:p w14:paraId="465D9FD0" w14:textId="3D2E8344" w:rsidR="00813B35" w:rsidRPr="00050F48" w:rsidRDefault="00050F48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050F48">
        <w:rPr>
          <w:rFonts w:ascii="Times New Roman" w:hAnsi="Times New Roman"/>
          <w:b/>
          <w:bCs/>
          <w:sz w:val="24"/>
          <w:szCs w:val="24"/>
        </w:rPr>
        <w:t>I</w:t>
      </w:r>
      <w:r w:rsidR="00813B35" w:rsidRPr="00050F48">
        <w:rPr>
          <w:rFonts w:ascii="Times New Roman" w:hAnsi="Times New Roman"/>
          <w:b/>
          <w:bCs/>
          <w:sz w:val="24"/>
          <w:szCs w:val="24"/>
        </w:rPr>
        <w:t>ІІ.3.</w:t>
      </w:r>
      <w:r w:rsidR="00813B35" w:rsidRPr="00050F48">
        <w:rPr>
          <w:rFonts w:ascii="Times New Roman" w:hAnsi="Times New Roman"/>
          <w:bCs/>
          <w:sz w:val="24"/>
          <w:szCs w:val="24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Замяна на служители/експерти по т. ІІ.2 ще извършваме на наш риск, след предварителното писмено съгласие на Възложителя, относно качественото изпълнение на дейностите по реда, предвиден в договора за възлагане на обществената поръчка.</w:t>
      </w:r>
    </w:p>
    <w:p w14:paraId="10C8CDF3" w14:textId="77777777" w:rsidR="00813B35" w:rsidRPr="00D62712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050F48">
        <w:rPr>
          <w:rFonts w:ascii="Times New Roman" w:hAnsi="Times New Roman"/>
          <w:color w:val="000000"/>
          <w:sz w:val="24"/>
          <w:szCs w:val="24"/>
        </w:rPr>
        <w:t>Промяната на служител/експерт се извършва само при наличие на обективни причини като болест, смърт или напускане на лицето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. В този случай, </w:t>
      </w:r>
      <w:r w:rsidRPr="00D62712">
        <w:rPr>
          <w:rFonts w:ascii="Times New Roman" w:hAnsi="Times New Roman"/>
          <w:color w:val="000000"/>
          <w:sz w:val="24"/>
          <w:szCs w:val="24"/>
        </w:rPr>
        <w:t>изпълнителят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е длъжен да определи друг</w:t>
      </w:r>
      <w:r>
        <w:rPr>
          <w:rFonts w:ascii="Times New Roman" w:hAnsi="Times New Roman"/>
          <w:color w:val="000000"/>
          <w:sz w:val="24"/>
          <w:szCs w:val="24"/>
        </w:rPr>
        <w:t xml:space="preserve"> служител/експерт</w:t>
      </w:r>
      <w:r w:rsidRPr="0017737F">
        <w:rPr>
          <w:rFonts w:ascii="Times New Roman" w:hAnsi="Times New Roman"/>
          <w:color w:val="000000"/>
          <w:sz w:val="24"/>
          <w:szCs w:val="24"/>
        </w:rPr>
        <w:t>, притежаващ квалификация и професионален опит, равностойни на тези на основн</w:t>
      </w:r>
      <w:r>
        <w:rPr>
          <w:rFonts w:ascii="Times New Roman" w:hAnsi="Times New Roman"/>
          <w:color w:val="000000"/>
          <w:sz w:val="24"/>
          <w:szCs w:val="24"/>
        </w:rPr>
        <w:t>ият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. Преди да започне работа по настоящия договор </w:t>
      </w:r>
      <w:r>
        <w:rPr>
          <w:rFonts w:ascii="Times New Roman" w:hAnsi="Times New Roman"/>
          <w:color w:val="000000"/>
          <w:sz w:val="24"/>
          <w:szCs w:val="24"/>
        </w:rPr>
        <w:t xml:space="preserve">новият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експерт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следва да бъде одобрен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Pr="00D62712">
        <w:rPr>
          <w:rFonts w:ascii="Times New Roman" w:hAnsi="Times New Roman"/>
          <w:color w:val="000000"/>
          <w:sz w:val="24"/>
          <w:szCs w:val="24"/>
        </w:rPr>
        <w:t>Възложителя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. Всички допълнителни разходи, свързани със смяната на </w:t>
      </w:r>
      <w:r>
        <w:rPr>
          <w:rFonts w:ascii="Times New Roman" w:hAnsi="Times New Roman"/>
          <w:color w:val="000000"/>
          <w:sz w:val="24"/>
          <w:szCs w:val="24"/>
        </w:rPr>
        <w:t>служител/експерт</w:t>
      </w:r>
      <w:r w:rsidRPr="0017737F">
        <w:rPr>
          <w:rFonts w:ascii="Times New Roman" w:hAnsi="Times New Roman"/>
          <w:color w:val="000000"/>
          <w:sz w:val="24"/>
          <w:szCs w:val="24"/>
        </w:rPr>
        <w:t>, включително разходите за назначаване на временн</w:t>
      </w:r>
      <w:r>
        <w:rPr>
          <w:rFonts w:ascii="Times New Roman" w:hAnsi="Times New Roman"/>
          <w:color w:val="000000"/>
          <w:sz w:val="24"/>
          <w:szCs w:val="24"/>
        </w:rPr>
        <w:t>о лице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 до одобряването на </w:t>
      </w:r>
      <w:r>
        <w:rPr>
          <w:rFonts w:ascii="Times New Roman" w:hAnsi="Times New Roman"/>
          <w:color w:val="000000"/>
          <w:sz w:val="24"/>
          <w:szCs w:val="24"/>
        </w:rPr>
        <w:t>ново</w:t>
      </w:r>
      <w:r w:rsidRPr="0017737F">
        <w:rPr>
          <w:rFonts w:ascii="Times New Roman" w:hAnsi="Times New Roman"/>
          <w:color w:val="000000"/>
          <w:sz w:val="24"/>
          <w:szCs w:val="24"/>
        </w:rPr>
        <w:t xml:space="preserve">, са за сметка на </w:t>
      </w:r>
      <w:r w:rsidRPr="00D62712">
        <w:rPr>
          <w:rFonts w:ascii="Times New Roman" w:hAnsi="Times New Roman"/>
          <w:color w:val="000000"/>
          <w:sz w:val="24"/>
          <w:szCs w:val="24"/>
        </w:rPr>
        <w:t>изпълнителя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7A18CA8" w14:textId="77777777" w:rsidR="00813B35" w:rsidRPr="00E14A58" w:rsidRDefault="00813B35" w:rsidP="00813B35">
      <w:pPr>
        <w:spacing w:after="0" w:line="360" w:lineRule="auto"/>
        <w:ind w:firstLine="709"/>
        <w:rPr>
          <w:rFonts w:ascii="Times New Roman" w:hAnsi="Times New Roman"/>
          <w:i/>
          <w:sz w:val="24"/>
          <w:szCs w:val="24"/>
        </w:rPr>
      </w:pPr>
    </w:p>
    <w:p w14:paraId="7B9DCC9E" w14:textId="60C8890D" w:rsidR="00813B35" w:rsidRDefault="00813B35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050F48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Pr="00E14A58">
        <w:rPr>
          <w:rFonts w:ascii="Times New Roman" w:eastAsia="Times New Roman" w:hAnsi="Times New Roman"/>
          <w:sz w:val="24"/>
          <w:szCs w:val="24"/>
          <w:lang w:eastAsia="ar-SA"/>
        </w:rPr>
        <w:t xml:space="preserve"> При изпълнение на обществената поръчка ще изпълним дейностите, които отговарят на техническите изисквания и параметри заложени в Техническат</w:t>
      </w:r>
      <w:r w:rsidR="006D2A08">
        <w:rPr>
          <w:rFonts w:ascii="Times New Roman" w:eastAsia="Times New Roman" w:hAnsi="Times New Roman"/>
          <w:sz w:val="24"/>
          <w:szCs w:val="24"/>
          <w:lang w:eastAsia="ar-SA"/>
        </w:rPr>
        <w:t xml:space="preserve">а спецификация и документацията, </w:t>
      </w:r>
      <w:r w:rsidR="006D2A08" w:rsidRPr="00E14A58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6FBFB418" w14:textId="77777777" w:rsidR="00813B35" w:rsidRDefault="00813B35" w:rsidP="00813B35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9CF714A" w14:textId="77777777" w:rsidR="00813B35" w:rsidRDefault="00813B3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3A71EE62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605C47B9" w14:textId="77777777" w:rsidR="009A0C15" w:rsidRPr="00337778" w:rsidRDefault="009A0C15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3777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Приложения към предложението за изпълнение: </w:t>
      </w:r>
    </w:p>
    <w:p w14:paraId="338EFC09" w14:textId="4595D10E" w:rsidR="009D7C8B" w:rsidRPr="0012280D" w:rsidRDefault="009D7C8B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 w:rsidRPr="0012280D">
        <w:rPr>
          <w:rFonts w:ascii="Times New Roman" w:hAnsi="Times New Roman"/>
          <w:sz w:val="24"/>
          <w:szCs w:val="24"/>
        </w:rPr>
        <w:t>Описание на изпълн</w:t>
      </w:r>
      <w:r w:rsidR="00972C42">
        <w:rPr>
          <w:rFonts w:ascii="Times New Roman" w:hAnsi="Times New Roman"/>
          <w:sz w:val="24"/>
          <w:szCs w:val="24"/>
        </w:rPr>
        <w:t xml:space="preserve">ението на обществената поръчка </w:t>
      </w:r>
      <w:r w:rsidRPr="0012280D">
        <w:rPr>
          <w:rFonts w:ascii="Times New Roman" w:hAnsi="Times New Roman"/>
          <w:sz w:val="24"/>
          <w:szCs w:val="24"/>
        </w:rPr>
        <w:t>;</w:t>
      </w:r>
    </w:p>
    <w:p w14:paraId="2FE15561" w14:textId="3D4D6D3B" w:rsidR="009A0C15" w:rsidRPr="00972C42" w:rsidRDefault="009A0C15" w:rsidP="00972C42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5419" w:type="pct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DC3005">
        <w:tc>
          <w:tcPr>
            <w:tcW w:w="2772" w:type="pct"/>
            <w:vAlign w:val="center"/>
          </w:tcPr>
          <w:p w14:paraId="2DA85DBF" w14:textId="77777777" w:rsidR="00F6563E" w:rsidRPr="008C27EE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DC3005">
        <w:tc>
          <w:tcPr>
            <w:tcW w:w="2772" w:type="pct"/>
            <w:vAlign w:val="center"/>
          </w:tcPr>
          <w:p w14:paraId="364E23FA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DC3005">
        <w:tc>
          <w:tcPr>
            <w:tcW w:w="2772" w:type="pct"/>
            <w:vAlign w:val="center"/>
          </w:tcPr>
          <w:p w14:paraId="3768FC1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DC3005">
        <w:tc>
          <w:tcPr>
            <w:tcW w:w="2772" w:type="pct"/>
            <w:vAlign w:val="center"/>
          </w:tcPr>
          <w:p w14:paraId="53B59929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DC3005">
        <w:tc>
          <w:tcPr>
            <w:tcW w:w="2772" w:type="pct"/>
            <w:vAlign w:val="center"/>
          </w:tcPr>
          <w:p w14:paraId="57A711D2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C4E9E95" w:rsidR="009C2B3A" w:rsidRDefault="009C2B3A" w:rsidP="00910294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sectPr w:rsidR="009C2B3A" w:rsidSect="0073410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8F111" w14:textId="77777777" w:rsidR="00572A61" w:rsidRDefault="00572A61" w:rsidP="00C95243">
      <w:pPr>
        <w:spacing w:after="0" w:line="240" w:lineRule="auto"/>
      </w:pPr>
      <w:r>
        <w:separator/>
      </w:r>
    </w:p>
  </w:endnote>
  <w:endnote w:type="continuationSeparator" w:id="0">
    <w:p w14:paraId="23652964" w14:textId="77777777" w:rsidR="00572A61" w:rsidRDefault="00572A61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572A61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051FE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051FE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572A61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051FE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051FE">
      <w:rPr>
        <w:rFonts w:ascii="Times New Roman" w:hAnsi="Times New Roman"/>
        <w:bCs/>
        <w:i/>
        <w:noProof/>
        <w:sz w:val="16"/>
        <w:szCs w:val="16"/>
      </w:rPr>
      <w:t>3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B28B9" w14:textId="77777777" w:rsidR="00572A61" w:rsidRDefault="00572A61" w:rsidP="00C95243">
      <w:pPr>
        <w:spacing w:after="0" w:line="240" w:lineRule="auto"/>
      </w:pPr>
      <w:r>
        <w:separator/>
      </w:r>
    </w:p>
  </w:footnote>
  <w:footnote w:type="continuationSeparator" w:id="0">
    <w:p w14:paraId="70AC5C5D" w14:textId="77777777" w:rsidR="00572A61" w:rsidRDefault="00572A61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6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1"/>
  </w:num>
  <w:num w:numId="2">
    <w:abstractNumId w:val="31"/>
  </w:num>
  <w:num w:numId="3">
    <w:abstractNumId w:val="7"/>
  </w:num>
  <w:num w:numId="4">
    <w:abstractNumId w:val="18"/>
  </w:num>
  <w:num w:numId="5">
    <w:abstractNumId w:val="55"/>
  </w:num>
  <w:num w:numId="6">
    <w:abstractNumId w:val="0"/>
  </w:num>
  <w:num w:numId="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6"/>
  </w:num>
  <w:num w:numId="18">
    <w:abstractNumId w:val="53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8"/>
  </w:num>
  <w:num w:numId="28">
    <w:abstractNumId w:val="49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7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2"/>
  </w:num>
  <w:num w:numId="44">
    <w:abstractNumId w:val="34"/>
  </w:num>
  <w:num w:numId="45">
    <w:abstractNumId w:val="45"/>
  </w:num>
  <w:num w:numId="46">
    <w:abstractNumId w:val="13"/>
  </w:num>
  <w:num w:numId="47">
    <w:abstractNumId w:val="42"/>
  </w:num>
  <w:num w:numId="48">
    <w:abstractNumId w:val="54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4"/>
  </w:num>
  <w:num w:numId="56">
    <w:abstractNumId w:val="4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67E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3C9A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11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2C08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1E98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1FFA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E12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A9C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2A61"/>
    <w:rsid w:val="00574026"/>
    <w:rsid w:val="00575A3B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4723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4CE1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6D4A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0294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2C42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77C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87712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588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51FE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3957"/>
    <w:rsid w:val="00EC5265"/>
    <w:rsid w:val="00EC61E7"/>
    <w:rsid w:val="00EC6836"/>
    <w:rsid w:val="00EC6D6D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0FD9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3812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A5C04-C86D-4214-A5F6-3F502589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2017-12-19T11:06:00Z</dcterms:created>
  <dcterms:modified xsi:type="dcterms:W3CDTF">2018-01-11T13:04:00Z</dcterms:modified>
  <cp:category>Проект</cp:category>
</cp:coreProperties>
</file>