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7D2AC2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ТЕРИТОРИЯТА</w:t>
      </w:r>
    </w:p>
    <w:p w:rsidR="00000000" w:rsidRDefault="007D2AC2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31.03.2001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D2AC2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51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lastRenderedPageBreak/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ОРИЯТА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каскади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зеленчукови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необработваеми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дървопроизводителни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насипища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хвостохранилища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срутища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ториалноустройствена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равновесие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ансамбли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ансамбли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дотогава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стръмен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стръмен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художествен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съчетава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новопредвиденит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уплътняване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реституирани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абсолютни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пресечната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оскост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плоскост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подпокривното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плоскост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пресечната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31 - 35,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ослънчаване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засенчената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общежития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казарми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резидентна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подслон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мативите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жилищата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трафопостове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съблюдаване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магазин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наднормено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носимоспособността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портиер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мотопеди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мотоциклети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сушилни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партерния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подпокривното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наднормено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мълчаливо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кухненски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тоалетна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тоалетни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тоалетни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килер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поземле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югозападната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югоизточната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домашни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тоалетни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тоалетни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денивелация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денивелация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рхитектурен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прозирни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метрополитена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пристройката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капандури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обезсилва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градското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обзавеждане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художественото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фестивали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атракционни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благотворителни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кампании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обзавеждане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фонтани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зарядни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монументално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чупки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вероятното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електрозахранване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XI.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залесени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площи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микроклимата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ботанически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дендрариуми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зоопаркове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преотстъпвани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композиционно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монументално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монументално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реставрационни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Вековни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картотекираната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понижителни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ъединителните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206.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разкопаване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вътрешноквартални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192.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музей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разкопават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евентуални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епидемиологичните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предстоящото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засипване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Засипването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засипят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оразмеряват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съблюдаване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IV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VI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етнографско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съблюдават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тръбоп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справедливата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ебителя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водоплътни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ахти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хидрофорни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Енергоснабдителни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Енергоснабдителните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зимнични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Абонатните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виброизолация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трансформаторни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бордюри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ерозионните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абразионните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наблюдения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стационарни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стабилизиране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IX.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Газоснабдяване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газоразпределителните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Газопроводните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пригодността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композиционното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далекосъобщения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силуетно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мелиоративно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силуети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абсолютни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3 - 5;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хидрографията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релефа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закъснение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водовземните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йствените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мащаба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на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регионалното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развитие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благоустройството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забележки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129.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планове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2 - 5.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конфигурация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Инвестиционно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проектиране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метрополитени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наводнения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бряг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мегавата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металургичната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запечатване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изолиращ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мегавата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топлоцентрали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мегавата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капацитет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ансамблово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рекултивация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нерегламентирани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твърди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инфилтрат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Номенклатурата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детайли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51, 58,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параметри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утежняващи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човешкото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Докладът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квалифицирани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15.05.2015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заустване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145: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21.05.2019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охлаждане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01.09.2012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хумусния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реставрация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молитвени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манастири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богослужебна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потенциал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оранжерии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остъкляване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лоджии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надгробни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паметници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надгробни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реставр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художествени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стенописи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интериор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художествени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прозирни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шахта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напрежение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разнообразие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преносни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6,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съблюдаване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ВЗАИМООТНОШЕНИЯ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троителна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ниво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едроразмерната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цокъл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засипване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засипването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фундаментите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взаимоотношенията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тях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несъстоятелност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реабилитирани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15.05.2015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здравословни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4 -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305/2011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89/106/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88/5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съпротивление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сеизмичните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220 - 223.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170.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ИРАНЕТО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ретроактивната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оактивна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ретроактивната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вредоносното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ретроактивната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ЗАВЪРШВАН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екзекутивна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VIII.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177.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ваканционните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аквапарковете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177.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ОБЕЗЩЕТЯВАНЕ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ВЪРЛЯНЕ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148.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реустроените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партерното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улесняване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безпрепятствена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съпътстващата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срещуположни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съпътства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заливаема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ществуващо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рибарско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заливаема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СТРОЕЖИ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проектоплана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210.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еминаване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катастрофи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строежи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заздравяване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чистотата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спокойствието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самосрутване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заздравят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изслушва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заздрави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заздравяват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заздравява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ЗАБРАНА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КУПУВАЧ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поделяемостта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неподеляеми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неподеляем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необосновано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неудобства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вариант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седемнадесета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ОБЩИНИТЕ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обезщетяване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поземленият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петнадесе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случаи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еизвестност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осемнадесета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деветнадесета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първоинстанци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тринадесета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двадесета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СТРОИТЕЛСТВОТО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униформено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облекло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светлинни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звукови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обяснения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оръжията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боеприпасите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пиротехническите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5 - 8;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задължителен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захранването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2 - 4;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ПРАВОСПОСОБНОСТ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двадесет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ОТГОВОРНОСТ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лошо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таблото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високопланинските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превантивна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концепции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ландшафтна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стръмен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наклон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проветрителните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шахти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Плътност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подпокривното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балконите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лоджиите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терасите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абсолютно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полупосоките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Преструктуриране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навътре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срещуположната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благоприятната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ослънчаване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югоизток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югозапад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североизток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северозапад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нежилищна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топлоснабдяването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консервация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реставрация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автентични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носимоспосо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46.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Полуподземен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подпокривното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плоскости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средноаритметичната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моделиран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цокъл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Калканна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стреха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прозорци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конзолна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фасадата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Лоджия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нивелиране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62.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14.12.2012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отоплителни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вентилационни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футболни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волейбо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баскетболни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хандбални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бейзболни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ръгби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миниголф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лекоатлетически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бадминтон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колоездене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гимнастически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плувни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басейни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пързалки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скейтборд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съблекални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трибуни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амфитеатри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циркови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съблекални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трибуни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Мемориални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исторически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монументалните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увеселителни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преобладаващата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задвижват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находище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ресурси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метрополитени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гробищни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неустойчиво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техногенни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геоложки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брегоукрепителни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свлачищни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абразионни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субстанцията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сглобяем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монолитен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устойчивост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полусамостоятелна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закрепва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фундамент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хипотезите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проектантска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фундаментите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23.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наименованията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консултанта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подизпълнител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мораториума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мораториум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-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"."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54,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184.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72 - 74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възразили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139,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01.04.2005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ТУРИЗМА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25.11.2005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ИЗМЕРВАНИЯТА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ГЕОДЕЗИЯТА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КАРТОГРАФИЯТА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76, 77, 88, 94, 95,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17 - 22), §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7), § 47, §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11.08.2006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ЗАСТРОЯВАНЕТО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СТОЛИЧНАТА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СТРОИТЕЛИТЕ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27.07.2007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ФИДИК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(CONS),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(EPCT),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FIDIC.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 . 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76, 77, 88, 94, 95,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30, 34, 37, 65, 76, 79, 80, 82,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43, 54, 69,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17,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25.12.2009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2, 21, 36, 39, 41, 44, 45, 49, 50, 51, 53, 55, 56, 57, 59, 62, 63, 64, 65,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23.02.2010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50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§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ЕНЕРГЕТИКАТА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16.07.2010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03.05.2011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4, 5, 6, 7, 8, 9, 10,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ВЪЗОБНОВЯЕМИ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ИЗТОЧНИЦИ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ПРОСТРАНСТВА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ПРИСТАНИЩАТА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24.04.2012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20 - 42, §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43 - 58, §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W;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1.2, 1.3, 1.4,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2.1 - 2.6, 3.1 - 3.5;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4.1 - 4.6 -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5.3.1,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5.4, 6.1,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6.2, 6.3, 6.4.1, 6.4.2,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6.4.3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6.5 - 6.9;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ПАРТНЬОРСТВО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7, § 8, § 9,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НАКАЗАНИЯ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09.10.2012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72 - 74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възразили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законосъобразност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216.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узаконяване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225.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. . . . . . . . . . . . . . . . . . . . . . . . . . . . . . . . . . 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149.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ОБСТВЕНОСТ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12.03.2013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ЕНЕРГИЙНАТА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ЕФЕКТИВНОСТ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15.05.2015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СРЕДА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14.08.2015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РАЗУЗНАВАНЕ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3".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монтажни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очертание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ърпими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05.07.2016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58.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68,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72 - 82,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4 - 9, §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ВЕРОИЗПОВЕДАНИЯТА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УСЛУГИ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§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§ 30, 36,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рекреационни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двегодиш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дворищнорегулационни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ЕНЕРГЕТИКАТА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21.05.2019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6, §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13, 19, 20, 21, 23,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2AC2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2014/94/EC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разгръщането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89/106/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сближаването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7D2AC2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7D2AC2" w:rsidRDefault="007D2AC2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305/2011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хармонизирани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89/106/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</w:p>
    <w:sectPr w:rsidR="007D2AC2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D2"/>
    <w:rsid w:val="007D2AC2"/>
    <w:rsid w:val="00A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75792B-F6C4-4773-A227-BD20FD79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rb.government.bg/" TargetMode="External"/><Relationship Id="rId5" Type="http://schemas.openxmlformats.org/officeDocument/2006/relationships/hyperlink" Target="http://www.mrrb.government.bg/" TargetMode="External"/><Relationship Id="rId4" Type="http://schemas.openxmlformats.org/officeDocument/2006/relationships/hyperlink" Target="http://www.mrrb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167</Pages>
  <Words>81462</Words>
  <Characters>464337</Characters>
  <Application>Microsoft Office Word</Application>
  <DocSecurity>0</DocSecurity>
  <Lines>3869</Lines>
  <Paragraphs>1089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Надежда Таранджийска</cp:lastModifiedBy>
  <cp:revision>2</cp:revision>
  <dcterms:created xsi:type="dcterms:W3CDTF">2020-05-22T07:36:00Z</dcterms:created>
  <dcterms:modified xsi:type="dcterms:W3CDTF">2020-05-22T07:36:00Z</dcterms:modified>
</cp:coreProperties>
</file>